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56"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3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 (d) OF THE SECURITIES EXCHANGE ACT OF 1934</w:t>
      </w:r>
    </w:p>
    <w:p>
      <w:pPr>
        <w:spacing w:after="0" w:line="34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from__________to__________</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Commission file number 001-34084</w:t>
      </w:r>
    </w:p>
    <w:p>
      <w:pPr>
        <w:spacing w:after="0" w:line="12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2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(Full title of the Plan and address of the Plan, if different from that of the issuer named below)</w:t>
      </w:r>
    </w:p>
    <w:p>
      <w:pPr>
        <w:spacing w:after="0" w:line="21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POPULAR, INC.</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209 MUÑOZ RIVERA AVENUE</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HATO REY, PUERTO RICO 00918</w:t>
      </w:r>
    </w:p>
    <w:p>
      <w:pPr>
        <w:spacing w:after="0" w:line="2"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(Name of issuer of the securities held pursuant to the plan and the 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225"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Popular, Inc. Puerto Rico Savings and</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Investment Plan</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(s)</w:t>
            </w:r>
          </w:p>
        </w:tc>
      </w:tr>
      <w:tr>
        <w:trPr>
          <w:trHeight w:val="212"/>
        </w:trPr>
        <w:tc>
          <w:tcPr>
            <w:tcW w:w="4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Report of Independent Registered Public Accounting Firm</w:t>
            </w:r>
          </w:p>
        </w:tc>
        <w:tc>
          <w:tcPr>
            <w:tcW w:w="2500" w:type="dxa"/>
            <w:vAlign w:val="bottom"/>
            <w:gridSpan w:val="4"/>
          </w:tcPr>
          <w:p>
            <w:pPr>
              <w:spacing w:after="0"/>
              <w:rPr>
                <w:sz w:val="18"/>
                <w:szCs w:val="18"/>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5500" w:type="dxa"/>
            <w:vAlign w:val="bottom"/>
            <w:gridSpan w:val="7"/>
          </w:tcPr>
          <w:p>
            <w:pPr>
              <w:spacing w:after="0"/>
              <w:rPr>
                <w:sz w:val="24"/>
                <w:szCs w:val="24"/>
                <w:color w:val="auto"/>
              </w:rPr>
            </w:pPr>
          </w:p>
        </w:tc>
        <w:tc>
          <w:tcPr>
            <w:tcW w:w="4180" w:type="dxa"/>
            <w:vAlign w:val="bottom"/>
          </w:tcPr>
          <w:p>
            <w:pPr>
              <w:spacing w:after="0"/>
              <w:rPr>
                <w:sz w:val="24"/>
                <w:szCs w:val="24"/>
                <w:color w:val="auto"/>
              </w:rPr>
            </w:pPr>
          </w:p>
        </w:tc>
      </w:tr>
      <w:tr>
        <w:trPr>
          <w:trHeight w:val="304"/>
        </w:trPr>
        <w:tc>
          <w:tcPr>
            <w:tcW w:w="6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1020" w:type="dxa"/>
            <w:vAlign w:val="bottom"/>
            <w:gridSpan w:val="2"/>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860" w:type="dxa"/>
            <w:vAlign w:val="bottom"/>
            <w:gridSpan w:val="5"/>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304"/>
        </w:trPr>
        <w:tc>
          <w:tcPr>
            <w:tcW w:w="1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Supplemental Schedule</w:t>
            </w:r>
          </w:p>
        </w:tc>
        <w:tc>
          <w:tcPr>
            <w:tcW w:w="5320" w:type="dxa"/>
            <w:vAlign w:val="bottom"/>
            <w:gridSpan w:val="6"/>
          </w:tcPr>
          <w:p>
            <w:pPr>
              <w:spacing w:after="0"/>
              <w:rPr>
                <w:sz w:val="24"/>
                <w:szCs w:val="24"/>
                <w:color w:val="auto"/>
              </w:rPr>
            </w:pPr>
          </w:p>
        </w:tc>
        <w:tc>
          <w:tcPr>
            <w:tcW w:w="4180" w:type="dxa"/>
            <w:vAlign w:val="bottom"/>
          </w:tcPr>
          <w:p>
            <w:pPr>
              <w:spacing w:after="0"/>
              <w:rPr>
                <w:sz w:val="24"/>
                <w:szCs w:val="24"/>
                <w:color w:val="auto"/>
              </w:rPr>
            </w:pPr>
          </w:p>
        </w:tc>
      </w:tr>
      <w:tr>
        <w:trPr>
          <w:trHeight w:val="304"/>
        </w:trPr>
        <w:tc>
          <w:tcPr>
            <w:tcW w:w="7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 – December 31, 2025</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61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60" w:type="dxa"/>
            <w:vAlign w:val="bottom"/>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5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Exhibit 23.1 – Consent of Independent Registered Public Accounting Firm</w:t>
            </w:r>
          </w:p>
        </w:tc>
        <w:tc>
          <w:tcPr>
            <w:tcW w:w="1620" w:type="dxa"/>
            <w:vAlign w:val="bottom"/>
            <w:gridSpan w:val="3"/>
          </w:tcPr>
          <w:p>
            <w:pPr>
              <w:spacing w:after="0"/>
              <w:rPr>
                <w:sz w:val="24"/>
                <w:szCs w:val="24"/>
                <w:color w:val="auto"/>
              </w:rPr>
            </w:pPr>
          </w:p>
        </w:tc>
        <w:tc>
          <w:tcPr>
            <w:tcW w:w="4180" w:type="dxa"/>
            <w:vAlign w:val="bottom"/>
          </w:tcPr>
          <w:p>
            <w:pPr>
              <w:spacing w:after="0"/>
              <w:rPr>
                <w:sz w:val="24"/>
                <w:szCs w:val="24"/>
                <w:color w:val="auto"/>
              </w:rPr>
            </w:pPr>
          </w:p>
        </w:tc>
      </w:tr>
    </w:tbl>
    <w:p>
      <w:pPr>
        <w:spacing w:after="0" w:line="292" w:lineRule="exact"/>
        <w:rPr>
          <w:sz w:val="20"/>
          <w:szCs w:val="20"/>
          <w:color w:val="auto"/>
        </w:rPr>
      </w:pPr>
    </w:p>
    <w:p>
      <w:pPr>
        <w:ind w:left="600" w:right="380" w:hanging="566"/>
        <w:spacing w:after="0" w:line="266" w:lineRule="auto"/>
        <w:tabs>
          <w:tab w:leader="none" w:pos="580" w:val="left"/>
        </w:tabs>
        <w:rPr>
          <w:sz w:val="20"/>
          <w:szCs w:val="20"/>
          <w:color w:val="auto"/>
        </w:rPr>
      </w:pPr>
      <w:r>
        <w:rPr>
          <w:rFonts w:ascii="Times New Roman" w:cs="Times New Roman" w:eastAsia="Times New Roman" w:hAnsi="Times New Roman"/>
          <w:sz w:val="18"/>
          <w:szCs w:val="18"/>
          <w:color w:val="auto"/>
        </w:rPr>
        <w:t>Note:</w:t>
        <w:tab/>
        <w:t>Other schedules required by Section 2520.103-10 of the Department of Labor’s Rules and Regulations for Reporting and Disclosure under the Employee Retirement Income Security Act of 1974 (“ERISA”) have been omitted because they are not applicable or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82296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Popular, Inc. Puerto Rico Savings and Investment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Popular, Inc. Puerto Rico Savings and Investment Plan (the "Plan") 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3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as of December 31, 2025 ("supplemental schedule")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943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Juan, Puerto Rico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6/26/2026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1999.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Stamp DLLP216-1139 of the P.R. Society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affixed to the original of this report</w:t>
      </w:r>
    </w:p>
    <w:p>
      <w:pPr>
        <w:spacing w:after="0" w:line="200" w:lineRule="exact"/>
        <w:rPr>
          <w:sz w:val="20"/>
          <w:szCs w:val="20"/>
          <w:color w:val="auto"/>
        </w:rPr>
      </w:pPr>
    </w:p>
    <w:p>
      <w:pPr>
        <w:spacing w:after="0" w:line="38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982,607,328</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815,364,575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17,674,045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975,938</w:t>
            </w: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1,457,518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1,219,937</w:t>
            </w:r>
          </w:p>
        </w:tc>
      </w:tr>
      <w:tr>
        <w:trPr>
          <w:trHeight w:val="230"/>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Dividends and interest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1,062,411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1,044,882</w:t>
            </w:r>
          </w:p>
        </w:tc>
      </w:tr>
      <w:tr>
        <w:trPr>
          <w:trHeight w:val="223"/>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20,193,974</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3,240,757</w:t>
            </w:r>
          </w:p>
        </w:tc>
      </w:tr>
      <w:tr>
        <w:trPr>
          <w:trHeight w:val="223"/>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1,002,801,302</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818,605,332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123,368</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1,002,677,934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818,496,466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Additions to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investment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Employer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Rollovers from qualified plans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additions to assets available for benefits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80" w:right="3073"/>
        <w:spacing w:after="0" w:line="276" w:lineRule="auto"/>
        <w:rPr>
          <w:sz w:val="20"/>
          <w:szCs w:val="20"/>
          <w:color w:val="auto"/>
        </w:rPr>
      </w:pPr>
      <w:r>
        <w:rPr>
          <w:rFonts w:ascii="Times New Roman" w:cs="Times New Roman" w:eastAsia="Times New Roman" w:hAnsi="Times New Roman"/>
          <w:sz w:val="18"/>
          <w:szCs w:val="18"/>
          <w:color w:val="auto"/>
        </w:rPr>
        <w:t>Benefits and withdrawals paid to participants, including rollover distributions Administrative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7" w:hanging="587"/>
        <w:spacing w:after="0"/>
        <w:tabs>
          <w:tab w:leader="none" w:pos="5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77,931,346</w:t>
      </w:r>
    </w:p>
    <w:p>
      <w:pPr>
        <w:spacing w:after="0" w:line="38" w:lineRule="exact"/>
        <w:rPr>
          <w:rFonts w:ascii="Times New Roman" w:cs="Times New Roman" w:eastAsia="Times New Roman" w:hAnsi="Times New Roman"/>
          <w:sz w:val="17"/>
          <w:szCs w:val="17"/>
          <w:color w:val="auto"/>
        </w:rPr>
      </w:pPr>
    </w:p>
    <w:p>
      <w:pPr>
        <w:ind w:left="5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61,052,134</w:t>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138,983,480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429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34,959,752</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44,883,661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4,377,120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42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84,220,533</w:t>
      </w:r>
    </w:p>
    <w:p>
      <w:pPr>
        <w:spacing w:after="0" w:line="36" w:lineRule="exact"/>
        <w:rPr>
          <w:sz w:val="20"/>
          <w:szCs w:val="20"/>
          <w:color w:val="auto"/>
        </w:rPr>
      </w:pPr>
    </w:p>
    <w:p>
      <w:pPr>
        <w:ind w:left="487" w:hanging="487"/>
        <w:spacing w:after="0"/>
        <w:tabs>
          <w:tab w:leader="none" w:pos="4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223,204,013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59" w:lineRule="exact"/>
        <w:rPr>
          <w:sz w:val="20"/>
          <w:szCs w:val="20"/>
          <w:color w:val="auto"/>
        </w:rPr>
      </w:pPr>
    </w:p>
    <w:p>
      <w:pPr>
        <w:ind w:left="587" w:hanging="587"/>
        <w:spacing w:after="0"/>
        <w:tabs>
          <w:tab w:leader="none" w:pos="5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38,864,945</w:t>
      </w:r>
    </w:p>
    <w:p>
      <w:pPr>
        <w:spacing w:after="0" w:line="38" w:lineRule="exact"/>
        <w:rPr>
          <w:rFonts w:ascii="Times New Roman" w:cs="Times New Roman" w:eastAsia="Times New Roman" w:hAnsi="Times New Roman"/>
          <w:sz w:val="17"/>
          <w:szCs w:val="17"/>
          <w:color w:val="auto"/>
        </w:rPr>
      </w:pPr>
    </w:p>
    <w:p>
      <w:pPr>
        <w:ind w:left="8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157,600</w:t>
      </w:r>
    </w:p>
    <w:p>
      <w:pPr>
        <w:spacing w:after="0" w:line="52" w:lineRule="exact"/>
        <w:rPr>
          <w:sz w:val="20"/>
          <w:szCs w:val="20"/>
          <w:color w:val="auto"/>
        </w:rPr>
      </w:pPr>
    </w:p>
    <w:p>
      <w:pPr>
        <w:sectPr>
          <w:pgSz w:w="11900" w:h="16838" w:orient="portrait"/>
          <w:cols w:equalWidth="0" w:num="2">
            <w:col w:w="9053" w:space="720"/>
            <w:col w:w="1467"/>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9760" w:type="dxa"/>
            <w:vAlign w:val="bottom"/>
            <w:tcBorders>
              <w:top w:val="single" w:sz="8" w:color="CCEEFF"/>
              <w:bottom w:val="single" w:sz="8" w:color="CCEEFF"/>
            </w:tcBorders>
            <w:shd w:val="clear" w:color="auto" w:fill="CCEEFF"/>
          </w:tcPr>
          <w:p>
            <w:pPr>
              <w:ind w:left="760"/>
              <w:spacing w:after="0" w:line="206" w:lineRule="exact"/>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tcBorders>
              <w:top w:val="single" w:sz="8" w:color="auto"/>
              <w:bottom w:val="single" w:sz="8" w:color="auto"/>
            </w:tcBorders>
            <w:shd w:val="clear" w:color="auto" w:fill="CCEEFF"/>
          </w:tcPr>
          <w:p>
            <w:pPr>
              <w:jc w:val="right"/>
              <w:ind w:right="5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39,022,545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7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in assets available for benefits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184,181,468</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9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818,496,466</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1,002,677,934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Popular, Inc. Puerto Rico Savings and Investment Plan (the “Plan”) provides only general information. Participants should refer to the Plan Document for a more complete description of its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is sponsored by Popular, Inc. (the “Corporation”). The Plan is a defined contribution plan covering substantially all employees of the Corporation and its affiliates (the “Companies”), who have one month of service, are at least 18 years old and are residents of the Commonwealth of Puerto Rico. The Plan was established for the purpose of providing retirement benefits to employees and to encourage and assist them in adopting a regular savings plan that qualifies under the applicable income tax laws of the Commonwealth of Puerto Rico. The Plan provides the participants the ability to invest in mutual funds, interest bearing deposits, and common stock of the Corporation. The Plan is subject to the provisions of Employee Retirement Income Security Act of 1974 (“ERISA”).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make pre-tax contributions up to the maximum permitted, as defined in the Plan documents, but may not exceed the legal limit established by Section 1081.01 (d)(7)(A) of the Internal Revenue Code for the New Puerto Rico, Act No. 1 of January 31, 2011, as amended from time to time, (the “2011 PR Code”), of $15,000. Also, the Plan permits catch-up contributions that are before tax contributions made in excess of the deferral limit by a participant who has reached age 50, limited for the calendar years ended on December 31, 2025 and 2024 to $1,500.</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provides that newly hired employees are automatically enrolled in the Plan at a pre-tax rate of 6% , with a match formula of 50% for each dollar pre-tax contribution up to a maximum of 8% and for an automatic annual increase of 1% to the employees’ pre-tax contribution until such contribution reaches a certain percent which on December 31, 2025 was 10%. Participants may modify the automatic annual increase of the pre-tax contribution up to the maximum permitted amount. Participants are given written notice of the automatic increase no less than 30 days or more than 90 days before the increase is to be effective. Participants, upon receipt of the notice of automatic increase, may elect to change their percentage of before-tax contributions to a different amount, including zero (0%), by the deadline established by the Plan Administrator to avoid the automatic increase. Matching contributions are invested pursuant to each participant’s investment directions.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 may make discretionary contributions to its own employees out of its net profits in such amounts as the Corporation’s Board of Directors may determine. During the year ended December 31, 2025, the Corporation made discretionary contributions of $16,508,992 related to profit sharing distribution.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for an additional employer contribution known as “True-Up contribution” to ensure participants receive the maximum matching benefit under the Plan’s contribution guidelines. In 2026, the Corporation reviewed the matching contributions for the year 2025 and as a result determined to make a True-Up contribution of $564,436, which is included as employer contributions receivable in the accompanying Statement of Net Assets Available for Benefits as of December 31, 2025. In 2025, the Corporation reviewed the matching contributions for the year 2024 and as a result made a True-Up contribution of $450,697, which is included as employer contributions receivable in the accompanying Statement of Net Assets Available for Benefits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participant account is credited with its contribution and allocation of: (a) its own Corporation matching and profit-sharing contribution and (b) plan earnings. Allocations are based on participant earnings or account balances, as defined in the Plan Document.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and vesting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employees are eligible to participate in the Plan on the first day of the month, following one month of service. Participants are immediately vested in their voluntary contributions plus actual earnings thereon. Vesting in the Corporations’ matching and discretionary profit-sharing contributions plus actual earnings thereon is based on years of service since commencement of employment with the Corporation. These contributions and actual earnings thereon vest in accordance with the following schedule:</w:t>
      </w:r>
    </w:p>
    <w:p>
      <w:pPr>
        <w:spacing w:after="0" w:line="212"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2940" w:type="dxa"/>
            <w:vAlign w:val="bottom"/>
            <w:gridSpan w:val="3"/>
          </w:tcPr>
          <w:p>
            <w:pPr>
              <w:ind w:left="2300"/>
              <w:spacing w:after="0"/>
              <w:rPr>
                <w:sz w:val="20"/>
                <w:szCs w:val="20"/>
                <w:color w:val="auto"/>
              </w:rPr>
            </w:pPr>
            <w:r>
              <w:rPr>
                <w:rFonts w:ascii="Times New Roman" w:cs="Times New Roman" w:eastAsia="Times New Roman" w:hAnsi="Times New Roman"/>
                <w:sz w:val="14"/>
                <w:szCs w:val="14"/>
                <w:b w:val="1"/>
                <w:bCs w:val="1"/>
                <w:color w:val="auto"/>
                <w:w w:val="98"/>
              </w:rPr>
              <w:t>Vesting %</w:t>
            </w: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least 1</w:t>
            </w:r>
          </w:p>
        </w:tc>
        <w:tc>
          <w:tcPr>
            <w:tcW w:w="2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r>
      <w:tr>
        <w:trPr>
          <w:trHeight w:val="229"/>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 least 2</w:t>
            </w:r>
          </w:p>
        </w:tc>
        <w:tc>
          <w:tcPr>
            <w:tcW w:w="2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29"/>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least 3</w:t>
            </w:r>
          </w:p>
        </w:tc>
        <w:tc>
          <w:tcPr>
            <w:tcW w:w="2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9"/>
                <w:szCs w:val="19"/>
                <w:color w:val="auto"/>
              </w:rPr>
            </w:pPr>
          </w:p>
        </w:tc>
      </w:tr>
      <w:tr>
        <w:trPr>
          <w:trHeight w:val="230"/>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 least 4</w:t>
            </w:r>
          </w:p>
        </w:tc>
        <w:tc>
          <w:tcPr>
            <w:tcW w:w="2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9"/>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or more</w:t>
            </w:r>
          </w:p>
        </w:tc>
        <w:tc>
          <w:tcPr>
            <w:tcW w:w="2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 and Withdrawals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Plan participants are permitted to make withdrawals from the Plan from after-tax contributions balance, subject to provisions in the Plan Document as amended. If a participant suffers financial hardship, as defined in the Plan Document, the participant may request a withdrawal from his/her pre-tax contributions balance. Upon termination of service due to disability, retirement or other reasons, a participant may elect to receive either a lump sum distribution in cash, recurring benefit payments, shares of Popular, Inc.’s common stock, if applicable, or a combination of elections. In the case of participant termination due to death, the entire vested amount is paid to the person or persons legally entitled thereto.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does not allow participants to take loans from their accounts.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Corporation has the right under the Plan to terminate the Plan subject to the provisions of ERISA. In the event of Plan termination, the interest of each participant in the Plan shall be fully vested and such termination shall not reduce the interest of any participating employee or their beneficiaries accrued under the Plan up to the date of such termination.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Expenses and 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administered by the Popular, Inc. Benefits Committee which, in turn, may delegate certain administrative functions to other committees and/or officers of the Corporation. The named fiduciary of the Plan for purposes of investment-related matters is the Popular, Inc. Corporate Investment Committee.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Plan’s Recordkeeper and Trustee is Banco Popular de Puerto Rico. Unless otherwise paid by the Corporation, expenses of the Plan are borne by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Forfeited balances of terminated participants’ non-vested accounts may first be used to pay administrative expenses, to reduce the earliest employer contributions made after the forfeitures are determined, or at the Corporation’s discretion, may be redistributed among participants after a five (5) year severance period. During the severance period, if the terminated participant is re-employed by the Corporation, the dollar value at the date of re-employment shall be restored to the participant’s account if the re-employed participant repays to the Plan an amount equal to the dollar value of his/her vested balance distributed upon termination.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Plan used forfeitures of $154,809 to pay a portion of the administrative expenses, which included expenses accrued in prior year, and $156,272 to cover the 2024 True-Up Contribution. Forfeited non-vested accounts amounted to $321,960 and $151,333 at December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Non-Participant Directed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there were no non-participant directed investments in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 followed by the Plan in the preparation of the financial statements are summarized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Plan investments are presented at fair value. Shares of registered investment companies are presented at published market prices which represent the net asset value of shares held by the Plan at the reporting date. Popular, Inc. common stock is presented at the quoted closing market price at the reporting date. The Plan presents in the Statement of Changes in Net Assets Available for Benefits the net appreciation (depreciation) in the fair value of its investments which consists of the realized gains or losses and the unrealized appreciation (depreciation) on those investments. Purchases and sales of securities are recorded on a trade date basis. Dividends are recorded on the ex-dividend date and interest is recorded under the accrual basis and credited to each participant’s account, as defined by the Plan Document. Realized gains and losses from security transactions are reported on the average cost basis.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determines the fair values of its investments based on the fair value framework established in the Financial Accounting Standards Board (FASB) Accounting Standards Codification (ASC) Subtopic 820-10, “Fair Value Measurements”, which requires an entity to maximize the use of observable inputs and minimize the use of unobservable inputs when measuring fair value. Refer to Note 3 to these financial statements for the fair value disclosures required as of December 31,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Bearing Deposits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Bearing Deposits consist of all demand deposits and balances invested in short-term highly liquid investments available upon demand. Interest Bearing Deposits include revenue sharing dollars accumulated over the past years that the Corporation will use to allocate pro-rata among Plan’s participants on the last day of the Plan Year based on their year end funds account balance. Revenue sharing dollars during the years ended December 31, 2025 and 2024 were $666,142 and $557,156,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and employer matching contributions are recorded on an accrual basis in the period in which the payroll is earned.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Discretionary contributions are recorded in the period in which they are earned by the participant as determined by the Corporation’s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Rollovers Distributions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Terminated employees or retirees may elect to transfer their savings to other plans qualified by the Puerto Rico Department of the Treasury and are recorded when paid.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Rollovers Contributions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Rollovers Contributions to the Plan consist of monies received by a Participant from another plan qualified under the 2011 PR Code and are recorded when received.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Contributions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annual basis, the plan completes a non-discrimination test pursuant to IRS regulations. Excess contributions determined as a result of this test, if any, are netted against the participant contributions in the Statement of Changes in Net Assets Available for Benefits. For the years ended December 31, 2025 and 2024, the plan passed the non-discrimination test.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measures fair value as required by ASC Subtopic 820-10, “Fair Value Measurements” which provides a framework for measuring fair value under accounting principles generally accepted in the United States. Under ASC 820, fair value is defined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for the asset or liability.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the inputs and valuation techniques used to measure fair value into three levels in order to increase consistency and comparability in fair value measurements and disclosures. The classification of assets and liabilities within the hierarchy is based on whether the inputs to the valuation methodology used for the fair value measurement are observable or unobservable. Observable inputs reflect the assumptions market participants would use in pricing the asset or liability based on market data obtained from independent sources. Unobservable inputs reflect the Plan’s estimates about assumptions that market participants would use in pricing the asset or liability based on the best information available. The hierarchy is broken down into three levels based on the reliability of inputs as follows: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Unadjusted quoted prices in active markets for identical assets that the Plan has the ability to access at the measurement date. Valuation on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does not necessitate a significant degree of judgment since valuations are based on quoted prices that are readily available in an active market.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other than those included in Level 1 that are observable either directly or indirectly. Level 2 inputs include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assets or liabilities in active markets, quoted prices for identical or similar assets or liabilities in markets that are not active, or other inputs that are observable or that can be corroborated by observable market data for substantially the full term of the financial instrument.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Inputs are unobservable and significant to the fair value measurement. Unobservable inputs reflect the Plan’s own judgments about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market participants would use in pricing the asset or liability.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Plan’s valuation methodologies used for assets measured at fair value. There have been no changes in the methodologies used at December 31, 2025 and 2024.</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Mutual Funds: </w:t>
      </w:r>
      <w:r>
        <w:rPr>
          <w:rFonts w:ascii="Times New Roman" w:cs="Times New Roman" w:eastAsia="Times New Roman" w:hAnsi="Times New Roman"/>
          <w:sz w:val="18"/>
          <w:szCs w:val="18"/>
          <w:color w:val="auto"/>
        </w:rPr>
        <w:t>Valued at the daily closing NAV price as reported by the fund. Mutual funds held by the Plan are open-end mutual funds that are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Securities and Exchange Commission. These funds are required to publish their daily NAV and to transact at that price. These securities are classified as Level 2. Investments in mutual funds generally may be redeemed daily.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Bearing Deposits: </w:t>
      </w:r>
      <w:r>
        <w:rPr>
          <w:rFonts w:ascii="Times New Roman" w:cs="Times New Roman" w:eastAsia="Times New Roman" w:hAnsi="Times New Roman"/>
          <w:sz w:val="18"/>
          <w:szCs w:val="18"/>
          <w:color w:val="auto"/>
        </w:rPr>
        <w:t>The carrying amount of interest bearing deposits are reasonable estimates of the fair value due to its short term maturity.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bearing deposits are available upon demand, hence, classified as Level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Popular, Inc. Common Stock: </w:t>
      </w:r>
      <w:r>
        <w:rPr>
          <w:rFonts w:ascii="Times New Roman" w:cs="Times New Roman" w:eastAsia="Times New Roman" w:hAnsi="Times New Roman"/>
          <w:sz w:val="18"/>
          <w:szCs w:val="18"/>
          <w:color w:val="auto"/>
        </w:rPr>
        <w:t>Equity securities with quoted market prices obtained from an active exchange market are classified as Level 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net assets at fair value as of December 31, 2025 and 2024.</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Assets at Fair Value as of</w:t>
            </w: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765,091,992</w:t>
            </w:r>
          </w:p>
        </w:tc>
        <w:tc>
          <w:tcPr>
            <w:tcW w:w="112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765,091,992</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Bearing Deposits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89,165,972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89,165,972</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Popular, Inc.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128,349,364</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128,349,364</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217,515,336</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765,091,992</w:t>
            </w:r>
          </w:p>
        </w:tc>
        <w:tc>
          <w:tcPr>
            <w:tcW w:w="112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982,607,328</w:t>
            </w:r>
          </w:p>
        </w:tc>
      </w:tr>
      <w:tr>
        <w:trPr>
          <w:trHeight w:val="21"/>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Assets at Fair Value as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5"/>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5"/>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634,969,323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634,969,323</w:t>
            </w:r>
          </w:p>
        </w:tc>
      </w:tr>
      <w:tr>
        <w:trPr>
          <w:trHeight w:val="22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Interest Bearing Deposits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81,461,279</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81,461,279</w:t>
            </w:r>
          </w:p>
        </w:tc>
      </w:tr>
      <w:tr>
        <w:trPr>
          <w:trHeight w:val="22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Popular, Inc.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98,933,973</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98,933,973</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180,395,252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634,969,323</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815,364,575</w:t>
            </w:r>
          </w:p>
        </w:tc>
      </w:tr>
      <w:tr>
        <w:trPr>
          <w:trHeight w:val="20"/>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Tax Status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received a favorable determination letter from the Puerto Rico Treasury Department (the “PR Treasury”) dated August 26, 2016 indicating it meets the requirements of Section 1081.01 of the 2011 Puerto Rico Internal Revenue Code (“2011 PR Code”) and accordingly, the Trust associated with the Plan is exempt from Puerto Rico income tax under such section. The Plan is amended from time to time, and such amendments are submitted for the PR Treasury to ascertain that the qualification of the Plan is not affected. The most recent letter received from the PR Treasury was dated May 29, 2024, in which it ruled that its most recent amendment did not affect the qualification of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events have occurred with respect to the Plan or the associated Trust that, in substantial likelihood, would result in the Plan being disqualified by the PR Treasury. Pursuant to Section 1022(i)(1) of ERISA, the Plan’s Trust is considered as an organization described in Section 401(a) of the U.S. Internal Revenue Code of 1986, as amended (the “U.S. Code”) and exempt under Section 501(a) of the U.S. Code.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federal,</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and/or local taxing authorities. The plan administrator has concluded that as of December 31, 2025 and 2024 there are no uncertain positions that would require recognition of a liability (or asset) or disclosure in the financial statements. The Plan is subject to routine audits by taxing jurisdictions. At December 31, 2025, the years 2021 and thereafter remain subject to examination; however, there are currently no audits for any tax periods in progress.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Risks and Uncertainties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Plan’s investments are exposed to various risks, such as interest rate, market and credit risks. Due to the level of risk associated with certain investments and the level of uncertainty related to changes in the values of investments, it is at least reasonably possible that changes in these factors in the near term could materially affect participants’ account balances and the amounts reported in the Statements of Net Assets Available for Benefits and the Statement of Changes in Net Assets Available for Benefits. Individual participants’ accounts bear the risk of loss resulting from fluctuations in investment values.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and 2024, the Plan held 1,030,753 and 1,051,818 common stock of Popular, Inc., with a quoted market value of $128,349,364 and $98,933,973, respectively. During the year ended December 31, 2025, the Plan purchased or acquired through rollovers 68,212 common shares of Popular, Inc., with an acquisition price of $6,962,709 and completed sales and distributions of 89,277 shares which had a carrying value of $5,568,490 resulting in a realized gain of $3,884,922. These transactions are permitted party-in-interest transactions under the provisions of ERISA and the regulations promulgated thereunder.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Statements of Net Assets Available for Benefits includes accrued dividend income of $775,412 and $738,330 related to the dividends declared on Popular Inc.’s common stock during the fourth quarter of 2025 and 2024, which were paid in January 2026 and 2025,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Plan held a bank deposit open account with Banco Popular de Puerto Rico of $88,881,937 and $81,206,802 respectively. As of December 31, 2025 and 2024, the Plan held a time deposit open account with Banco Popular de Puerto Rico of $284,035 and $254,477, respectively. These transactions qualify as party-in-interest transactions permitted under the provisions of ERISA.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Banco Popular de Puerto Rico provides services as Trustee and Recordkeeper for the Plan and charges a fee, which for the year ended December 31, 2025 and 2024 amounted to $885,697 and $943,854, respectively, and were borne by the Plan sponsor.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at December 31, 2025 and 2024 to Form 5500: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4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1,002,677,934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818,496,466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Amounts allocated to withdrawing participants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4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1,002,408,949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818,246,872</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740" w:type="dxa"/>
            <w:vAlign w:val="bottom"/>
            <w:vMerge w:val="continue"/>
          </w:tcPr>
          <w:p>
            <w:pPr>
              <w:spacing w:after="0"/>
              <w:rPr>
                <w:sz w:val="24"/>
                <w:szCs w:val="24"/>
                <w:color w:val="auto"/>
              </w:rPr>
            </w:pPr>
          </w:p>
        </w:tc>
        <w:tc>
          <w:tcPr>
            <w:tcW w:w="4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benefits paid to participants per the financial statements for the period ended December 31, 2025 to Form 5500:</w:t>
      </w:r>
    </w:p>
    <w:p>
      <w:pPr>
        <w:spacing w:after="0" w:line="270"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38,864,945</w:t>
            </w:r>
          </w:p>
        </w:tc>
      </w:tr>
      <w:tr>
        <w:trPr>
          <w:trHeight w:val="175"/>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Add: Amounts allocated to withdrawing participants at December 31,</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268,985</w:t>
            </w: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Amounts allocated to withdrawing participants at December 31,</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(249,594)</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Form 5500</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38,884,336</w:t>
            </w: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evaluated subsequent events through the date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17" w:right="9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Popular, Inc. Puerto Rico Savings and Investment Plan</w:t>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EIN: 66-0667416 Plan Number: 006 Schedule H, Line 4i - Schedule of Assets (Held at End of Year)</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7054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41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w:t>
            </w:r>
          </w:p>
        </w:tc>
        <w:tc>
          <w:tcPr>
            <w:tcW w:w="378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(c) Description of Investment</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 Cost</w:t>
            </w: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(e) Current</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vMerge w:val="continue"/>
          </w:tcPr>
          <w:p>
            <w:pPr>
              <w:spacing w:after="0"/>
              <w:rPr>
                <w:sz w:val="17"/>
                <w:szCs w:val="17"/>
                <w:color w:val="auto"/>
              </w:rPr>
            </w:pPr>
          </w:p>
        </w:tc>
        <w:tc>
          <w:tcPr>
            <w:tcW w:w="41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378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gridSpan w:val="2"/>
            <w:vMerge w:val="continue"/>
          </w:tcPr>
          <w:p>
            <w:pPr>
              <w:spacing w:after="0"/>
              <w:rPr>
                <w:sz w:val="17"/>
                <w:szCs w:val="17"/>
                <w:color w:val="auto"/>
              </w:rPr>
            </w:pPr>
          </w:p>
        </w:tc>
        <w:tc>
          <w:tcPr>
            <w:tcW w:w="15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American Balanced Fd-R6</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1,636,422 shares</w:t>
            </w:r>
          </w:p>
        </w:tc>
        <w:tc>
          <w:tcPr>
            <w:tcW w:w="15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61,382,185</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Dodge &amp; Cox Income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1,271,836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16,355,816</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Franklin U.S. Government Securities</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801,434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4,159,441</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Impax Funds Series Trust I</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4,833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129,682</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JP Morgan Mid Cap Value Fund</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827,385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26,377,041</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Legg Mason Bw Global Op Bd-Is</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168,053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1,499,031</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Massmutual Premier Small Cap Opp</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689,871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12,114,142</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Mfs Value Fund-R6</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612,555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30,572,606</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Pioneer Large Cap Growth R1 Port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977,398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38,634,309</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Diversified International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843,081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14,189,058</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2015 Selt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32,955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270,227</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Lifetime 2020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1,924,134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23,320,502</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2025 Inst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604,550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6,631,916</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Lifetime 2030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5,090,773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72,747,142</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2035 Selt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1,630,729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21,656,080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Lifetime 2040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5,030,703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83,811,519</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2045 Intl</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2,152,315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32,801,282</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Lifetime 2050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4,290,315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77,611,798</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2055 Selt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2,276,802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39,798,493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Lifetime 2060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1,981,427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37,290,461</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2065 Inst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384,389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6,031,067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Lifetime 2070 Inst</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24,914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350,038</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Principal Lifetime Strategic Income</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1,181,143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13,689,451</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Extended Market Index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87,032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13,805,000</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197,814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109,207,237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Mutual Fund 781,014 shares</w:t>
            </w: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7,630,502</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Total International Stock Index Fund</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Mutual Fund 321,391 shares</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13,025,966</w:t>
            </w: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Mutual Funds</w:t>
            </w:r>
          </w:p>
        </w:tc>
        <w:tc>
          <w:tcPr>
            <w:tcW w:w="37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765,091,992</w:t>
            </w: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BPPR Bank Deposit Open Account</w:t>
            </w: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Open Deposit Account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88,881,937</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BPPR Time Deposit Open Account</w:t>
            </w:r>
          </w:p>
        </w:tc>
        <w:tc>
          <w:tcPr>
            <w:tcW w:w="3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Open Deposit Account</w:t>
            </w:r>
          </w:p>
        </w:tc>
        <w:tc>
          <w:tcPr>
            <w:tcW w:w="116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284,035</w:t>
            </w:r>
          </w:p>
        </w:tc>
        <w:tc>
          <w:tcPr>
            <w:tcW w:w="0" w:type="dxa"/>
            <w:vAlign w:val="bottom"/>
          </w:tcPr>
          <w:p>
            <w:pPr>
              <w:spacing w:after="0"/>
              <w:rPr>
                <w:sz w:val="1"/>
                <w:szCs w:val="1"/>
                <w:color w:val="auto"/>
              </w:rPr>
            </w:pPr>
          </w:p>
        </w:tc>
      </w:tr>
      <w:tr>
        <w:trPr>
          <w:trHeight w:val="223"/>
        </w:trPr>
        <w:tc>
          <w:tcPr>
            <w:tcW w:w="280" w:type="dxa"/>
            <w:vAlign w:val="bottom"/>
            <w:shd w:val="clear" w:color="auto" w:fill="CCEEFF"/>
          </w:tcPr>
          <w:p>
            <w:pPr>
              <w:spacing w:after="0"/>
              <w:rPr>
                <w:sz w:val="19"/>
                <w:szCs w:val="19"/>
                <w:color w:val="auto"/>
              </w:rPr>
            </w:pPr>
          </w:p>
        </w:tc>
        <w:tc>
          <w:tcPr>
            <w:tcW w:w="4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Interest Bearing Deposits</w:t>
            </w:r>
          </w:p>
        </w:tc>
        <w:tc>
          <w:tcPr>
            <w:tcW w:w="37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89,165,972</w:t>
            </w: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Popular, Inc.</w:t>
            </w:r>
          </w:p>
        </w:tc>
        <w:tc>
          <w:tcPr>
            <w:tcW w:w="3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Common Stock 1,030,753 shares</w:t>
            </w:r>
          </w:p>
        </w:tc>
        <w:tc>
          <w:tcPr>
            <w:tcW w:w="116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128,349,364</w:t>
            </w:r>
          </w:p>
        </w:tc>
        <w:tc>
          <w:tcPr>
            <w:tcW w:w="0" w:type="dxa"/>
            <w:vAlign w:val="bottom"/>
          </w:tcPr>
          <w:p>
            <w:pPr>
              <w:spacing w:after="0"/>
              <w:rPr>
                <w:sz w:val="1"/>
                <w:szCs w:val="1"/>
                <w:color w:val="auto"/>
              </w:rPr>
            </w:pPr>
          </w:p>
        </w:tc>
      </w:tr>
      <w:tr>
        <w:trPr>
          <w:trHeight w:val="248"/>
        </w:trPr>
        <w:tc>
          <w:tcPr>
            <w:tcW w:w="2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982,607,328</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hanging="39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in-interest</w:t>
      </w:r>
    </w:p>
    <w:p>
      <w:pPr>
        <w:spacing w:after="0" w:line="16" w:lineRule="exact"/>
        <w:rPr>
          <w:sz w:val="20"/>
          <w:szCs w:val="20"/>
          <w:color w:val="auto"/>
        </w:rPr>
      </w:pPr>
    </w:p>
    <w:p>
      <w:pPr>
        <w:ind w:left="420" w:hanging="394"/>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is not required to be presented for participant directed investments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Exchange Act of 1934, the persons who administer the employee benefit plan have duly caused this annual report to be signed on its behalf by the undersigned hereunto duly authorized.</w:t>
      </w:r>
    </w:p>
    <w:p>
      <w:pPr>
        <w:spacing w:after="0" w:line="21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POPULAR, INC. PUERTO RICO SAVINGS &amp; INVESTMENT</w:t>
      </w:r>
    </w:p>
    <w:p>
      <w:pPr>
        <w:spacing w:after="0" w:line="20"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13335</wp:posOffset>
            </wp:positionV>
            <wp:extent cx="3703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Eduardo J. Negrón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Eduardo J. Negrón</w:t>
      </w:r>
    </w:p>
    <w:p>
      <w:pPr>
        <w:spacing w:after="0" w:line="5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Chairperson</w:t>
      </w:r>
    </w:p>
    <w:p>
      <w:pPr>
        <w:spacing w:after="0" w:line="5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Popular, Inc. Benefits Committee</w:t>
      </w:r>
    </w:p>
    <w:p>
      <w:pPr>
        <w:spacing w:after="0" w:line="5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320" w:top="117" w:right="6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333-290535 and 333-229711) of Popular, Inc. of our report dated June 26, 2026 relating to the financial statements and supplemental schedule of the Popular, Inc. Puerto Rico Savings and Investment Plan which appears in this Form 11-K.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Juan, Puerto Rico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2026-06-26T18:54:03Z</dcterms:created>
  <dcterms:modified xsi:type="dcterms:W3CDTF">2026-06-26T18:54:03Z</dcterms:modified>
</cp:coreProperties>
</file>