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BALLESTER ALEJANDRO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364548</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00936-4548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804"/>
        <w:gridCol w:w="454"/>
        <w:gridCol w:w="617"/>
        <w:gridCol w:w="1408"/>
        <w:gridCol w:w="998"/>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34,839.791</w:t>
            </w:r>
            <w:r>
              <w:rPr>
                <w:rFonts w:ascii="Times;serif" w:hAnsi="Times;serif"/>
                <w:color w:val="008000"/>
                <w:position w:val="7"/>
                <w:sz w:val="16"/>
                <w:sz w:val="20"/>
                <w:shd w:fill="FFFFFF" w:val="clear"/>
              </w:rPr>
              <w:t>(1)</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(3)</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140.658 shares acquired pursuant to reinvestment of dividends paid by the Corporation. The shares were acquired in transactions exempt from Section 16 of the Securities Exchange Act of 1934 pursuant to Rule 16a-11 thereunder.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Restricted Stock Units ("RSUs") received by the reporting person as a result of dividend equivalents accrued with respect to outstanding RSUs granted to the reporting person. Dividend equivalents are accrued at the same rate and at the same time as dividends are paid to ordinary shareholders. Dividend equivalents on RSUs are subject to the same terms and conditions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units are converted into an equivalent number of shares of common stock and issued to the reporting person in equal annual installments on each 15th of August of the first five years following the date of termination of service as a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2780"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735</Words>
  <Characters>3971</Characters>
  <CharactersWithSpaces>4630</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