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75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5119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0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CARRADY ROBERT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051"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00936-2708</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0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141"/>
              <w:spacing w:after="0"/>
              <w:rPr>
                <w:sz w:val="20"/>
                <w:szCs w:val="20"/>
                <w:color w:val="auto"/>
              </w:rPr>
            </w:pPr>
            <w:r>
              <w:rPr>
                <w:rFonts w:ascii="Times New Roman" w:cs="Times New Roman" w:eastAsia="Times New Roman" w:hAnsi="Times New Roman"/>
                <w:sz w:val="17"/>
                <w:szCs w:val="17"/>
                <w:color w:val="0000FF"/>
              </w:rPr>
              <w:t>3,274.291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Plaza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vMerge w:val="restart"/>
          </w:tcPr>
          <w:p>
            <w:pPr>
              <w:jc w:val="right"/>
              <w:ind w:right="361"/>
              <w:spacing w:after="0"/>
              <w:rPr>
                <w:sz w:val="20"/>
                <w:szCs w:val="20"/>
                <w:color w:val="auto"/>
              </w:rPr>
            </w:pPr>
            <w:r>
              <w:rPr>
                <w:rFonts w:ascii="Times New Roman" w:cs="Times New Roman" w:eastAsia="Times New Roman" w:hAnsi="Times New Roman"/>
                <w:sz w:val="17"/>
                <w:szCs w:val="17"/>
                <w:color w:val="0000FF"/>
              </w:rPr>
              <w:t>2,750</w:t>
            </w:r>
          </w:p>
        </w:tc>
        <w:tc>
          <w:tcPr>
            <w:tcW w:w="280" w:type="dxa"/>
            <w:vAlign w:val="bottom"/>
          </w:tcPr>
          <w:p>
            <w:pPr>
              <w:spacing w:after="0"/>
              <w:rPr>
                <w:sz w:val="18"/>
                <w:szCs w:val="18"/>
                <w:color w:val="auto"/>
              </w:rPr>
            </w:pPr>
          </w:p>
        </w:tc>
        <w:tc>
          <w:tcPr>
            <w:tcW w:w="680" w:type="dxa"/>
            <w:vAlign w:val="bottom"/>
            <w:vMerge w:val="restart"/>
          </w:tcPr>
          <w:p>
            <w:pPr>
              <w:ind w:left="60"/>
              <w:spacing w:after="0" w:line="377" w:lineRule="exact"/>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Escorial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Cinema</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Corp.</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2"/>
              </w:rPr>
              <w:t>Par</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123</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123</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27,073</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restart"/>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0"/>
              </w:rPr>
              <w:t>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5.126 shares acquired pursuant to reinvestment of dividends paid by the Corporation. The shares were acquired in transactions exempt from Section 16 of the Securities Exchange Act of 1934 pursuant to Rule 16a-11 thereunder.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Popular, Inc.'s common stock held by Plaza Escorial Cinema Corp. of which Mr. Carrady has an ownership interest of 62.5%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on the 15th of August following the date of termination of service as a director.</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56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3503"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2026-07-02T15:32:13Z</dcterms:created>
  <dcterms:modified xsi:type="dcterms:W3CDTF">2026-07-02T15:32:13Z</dcterms:modified>
</cp:coreProperties>
</file>