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0001482780</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Popular,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001-34084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209 Munoz Rivera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San Juan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2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PUERTO RICO</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918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787-765-9800</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Alejandro M. Ballester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Popular Securities,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 Par Value</w:t>
      </w:r>
      <w:r>
        <w:rPr>
          <w:sz w:val="20"/>
          <w:szCs w:val="20"/>
          <w:color w:val="auto"/>
        </w:rPr>
        <w:tab/>
      </w:r>
      <w:r>
        <w:rPr>
          <w:rFonts w:ascii="Times New Roman" w:cs="Times New Roman" w:eastAsia="Times New Roman" w:hAnsi="Times New Roman"/>
          <w:sz w:val="21"/>
          <w:szCs w:val="21"/>
          <w:color w:val="auto"/>
        </w:rPr>
        <w:t>209 Munoz Rivera</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$0.01 per share</w:t>
      </w:r>
      <w:r>
        <w:rPr>
          <w:sz w:val="20"/>
          <w:szCs w:val="20"/>
          <w:color w:val="auto"/>
        </w:rPr>
        <w:tab/>
      </w:r>
      <w:r>
        <w:rPr>
          <w:rFonts w:ascii="Times New Roman" w:cs="Times New Roman" w:eastAsia="Times New Roman" w:hAnsi="Times New Roman"/>
          <w:sz w:val="21"/>
          <w:szCs w:val="21"/>
          <w:color w:val="auto"/>
        </w:rPr>
        <w:t>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San Juan  PR  00918</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3395950.00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65104302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180" w:type="dxa"/>
            <w:vAlign w:val="bottom"/>
          </w:tcPr>
          <w:p>
            <w:pPr>
              <w:spacing w:after="0"/>
              <w:rPr>
                <w:sz w:val="22"/>
                <w:szCs w:val="22"/>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80" w:type="dxa"/>
            <w:vAlign w:val="bottom"/>
          </w:tcPr>
          <w:p>
            <w:pPr>
              <w:spacing w:after="0"/>
              <w:rPr>
                <w:sz w:val="24"/>
                <w:szCs w:val="24"/>
                <w:color w:val="auto"/>
              </w:rPr>
            </w:pPr>
          </w:p>
        </w:tc>
        <w:tc>
          <w:tcPr>
            <w:tcW w:w="13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Alfonso F.</w:t>
            </w:r>
          </w:p>
        </w:tc>
        <w:tc>
          <w:tcPr>
            <w:tcW w:w="2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Par Value $0.01 09/16/2020 Inheritance by will</w:t>
            </w:r>
          </w:p>
        </w:tc>
        <w:tc>
          <w:tcPr>
            <w:tcW w:w="1360" w:type="dxa"/>
            <w:vAlign w:val="bottom"/>
            <w:vMerge w:val="continue"/>
          </w:tcPr>
          <w:p>
            <w:pPr>
              <w:spacing w:after="0"/>
              <w:rPr>
                <w:sz w:val="10"/>
                <w:szCs w:val="10"/>
                <w:color w:val="auto"/>
              </w:rPr>
            </w:pPr>
          </w:p>
        </w:tc>
        <w:tc>
          <w:tcPr>
            <w:tcW w:w="25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23000</w:t>
            </w:r>
          </w:p>
        </w:tc>
        <w:tc>
          <w:tcPr>
            <w:tcW w:w="30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09/16/2020 Inheritance by will</w:t>
            </w: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13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Ballester</w:t>
            </w:r>
          </w:p>
        </w:tc>
        <w:tc>
          <w:tcPr>
            <w:tcW w:w="2540" w:type="dxa"/>
            <w:vAlign w:val="bottom"/>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per share</w:t>
            </w: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40"/>
        <w:spacing w:after="0" w:line="261" w:lineRule="auto"/>
        <w:rPr>
          <w:sz w:val="20"/>
          <w:szCs w:val="20"/>
          <w:color w:val="auto"/>
        </w:rPr>
      </w:pPr>
      <w:r>
        <w:rPr>
          <w:rFonts w:ascii="Times New Roman" w:cs="Times New Roman" w:eastAsia="Times New Roman" w:hAnsi="Times New Roman"/>
          <w:sz w:val="21"/>
          <w:szCs w:val="21"/>
          <w:color w:val="auto"/>
        </w:rPr>
        <w:t>Alejandro M. Ballester 209 Munoz Rivera Avenue San Juan PR 00918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01/30/2026 2360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312700.00</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3">
            <w:col w:w="3120" w:space="540"/>
            <w:col w:w="3120" w:space="520"/>
            <w:col w:w="394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04/30/2026</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Alejandro M. Ballester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2026-04-30T18:03:11Z</dcterms:created>
  <dcterms:modified xsi:type="dcterms:W3CDTF">2026-04-30T18:03:11Z</dcterms:modified>
</cp:coreProperties>
</file>