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Ferre Maria Luisa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11924</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00922-1924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772"/>
        <w:gridCol w:w="427"/>
        <w:gridCol w:w="595"/>
        <w:gridCol w:w="1415"/>
        <w:gridCol w:w="978"/>
        <w:gridCol w:w="13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37,476.962</w:t>
            </w:r>
            <w:r>
              <w:rPr>
                <w:rFonts w:ascii="Times;serif" w:hAnsi="Times;serif"/>
                <w:color w:val="008000"/>
                <w:position w:val="7"/>
                <w:sz w:val="16"/>
                <w:sz w:val="20"/>
                <w:shd w:fill="FFFFFF" w:val="clear"/>
              </w:rPr>
              <w:t>(1)</w:t>
            </w:r>
            <w:r>
              <w:rPr/>
              <w:t xml:space="preserve"> </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Luis A. Ferre Foundation, Inc.</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150.750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Ms. Ferre is the President and a Trustee of the Luis A Ferre Foundation,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698"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4035</Characters>
  <CharactersWithSpaces>4720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