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13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3905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Soto Myrna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00936-2708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05/08/2026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206</w:t>
            </w: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149.01</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4,533.388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2"/>
              </w:rPr>
              <w:t>Par</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19,756</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0"/>
              </w:rPr>
              <w:t>Value</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on the 15th of August following the date of termination of service as a director.</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05/12/2026</w:t>
            </w: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Attorney-in-act</w:t>
            </w:r>
          </w:p>
        </w:tc>
        <w:tc>
          <w:tcPr>
            <w:tcW w:w="3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1411"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2026-05-12T10:03:45Z</dcterms:created>
  <dcterms:modified xsi:type="dcterms:W3CDTF">2026-05-12T10:03:45Z</dcterms:modified>
</cp:coreProperties>
</file>