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99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990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60"/>
        <w:spacing w:after="0" w:line="250" w:lineRule="auto"/>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GONZALEZ-NOGUERA MARIA</w:t>
        </w:r>
      </w:hyperlink>
      <w:r>
        <w:rPr>
          <w:rFonts w:ascii="Times New Roman" w:cs="Times New Roman" w:eastAsia="Times New Roman" w:hAnsi="Times New Roman"/>
          <w:sz w:val="21"/>
          <w:szCs w:val="21"/>
          <w:u w:val="single" w:color="auto"/>
          <w:color w:val="0000EE"/>
        </w:rPr>
        <w:t xml:space="preserve"> </w:t>
      </w:r>
      <w:hyperlink r:id="rId13">
        <w:r>
          <w:rPr>
            <w:rFonts w:ascii="Times New Roman" w:cs="Times New Roman" w:eastAsia="Times New Roman" w:hAnsi="Times New Roman"/>
            <w:sz w:val="21"/>
            <w:szCs w:val="21"/>
            <w:u w:val="single" w:color="auto"/>
            <w:color w:val="0000EE"/>
          </w:rPr>
          <w:t>CRISTINA</w:t>
        </w:r>
      </w:hyperlink>
    </w:p>
    <w:p>
      <w:pPr>
        <w:spacing w:after="0" w:line="287"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P O BOX 362708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0"/>
          <w:szCs w:val="20"/>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POPULAR,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BPOP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0"/>
          <w:szCs w:val="20"/>
          <w:color w:val="auto"/>
        </w:rPr>
      </w:pPr>
      <w:r>
        <w:rPr>
          <w:sz w:val="20"/>
          <w:szCs w:val="20"/>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05"/>
        <w:spacing w:after="0"/>
        <w:rPr>
          <w:sz w:val="20"/>
          <w:szCs w:val="20"/>
          <w:color w:val="auto"/>
        </w:rPr>
      </w:pPr>
      <w:r>
        <w:rPr>
          <w:rFonts w:ascii="Times New Roman" w:cs="Times New Roman" w:eastAsia="Times New Roman" w:hAnsi="Times New Roman"/>
          <w:sz w:val="17"/>
          <w:szCs w:val="17"/>
          <w:color w:val="0000FF"/>
        </w:rPr>
        <w:t>Executive Vice President</w:t>
      </w:r>
    </w:p>
    <w:p>
      <w:pPr>
        <w:spacing w:after="0" w:line="472" w:lineRule="exact"/>
        <w:rPr>
          <w:sz w:val="20"/>
          <w:szCs w:val="20"/>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54"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SAN JUAN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PR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00936-2708</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22"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9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05/01/2026</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6,200</w:t>
            </w:r>
          </w:p>
        </w:tc>
        <w:tc>
          <w:tcPr>
            <w:tcW w:w="100" w:type="dxa"/>
            <w:vAlign w:val="bottom"/>
          </w:tcPr>
          <w:p>
            <w:pPr>
              <w:spacing w:after="0"/>
              <w:rPr>
                <w:sz w:val="21"/>
                <w:szCs w:val="21"/>
                <w:color w:val="auto"/>
              </w:rPr>
            </w:pP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100" w:type="dxa"/>
            <w:vAlign w:val="bottom"/>
            <w:gridSpan w:val="5"/>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148.514</w:t>
            </w:r>
            <w:r>
              <w:rPr>
                <w:rFonts w:ascii="Times New Roman" w:cs="Times New Roman" w:eastAsia="Times New Roman" w:hAnsi="Times New Roman"/>
                <w:sz w:val="22"/>
                <w:szCs w:val="22"/>
                <w:color w:val="008000"/>
                <w:vertAlign w:val="superscript"/>
              </w:rPr>
              <w:t>(1)</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0000FF"/>
              </w:rPr>
              <w:t>11,255.263</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2100" w:type="dxa"/>
            <w:vAlign w:val="bottom"/>
            <w:gridSpan w:val="5"/>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600" w:type="dxa"/>
            <w:vAlign w:val="bottom"/>
            <w:tcBorders>
              <w:bottom w:val="single" w:sz="8" w:color="2C2C2C"/>
            </w:tcBorders>
            <w:gridSpan w:val="4"/>
          </w:tcPr>
          <w:p>
            <w:pPr>
              <w:spacing w:after="0"/>
              <w:rPr>
                <w:sz w:val="8"/>
                <w:szCs w:val="8"/>
                <w:color w:val="auto"/>
              </w:rPr>
            </w:pPr>
          </w:p>
        </w:tc>
        <w:tc>
          <w:tcPr>
            <w:tcW w:w="2720" w:type="dxa"/>
            <w:vAlign w:val="bottom"/>
            <w:tcBorders>
              <w:bottom w:val="single" w:sz="8" w:color="2C2C2C"/>
            </w:tcBorders>
            <w:gridSpan w:val="7"/>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w w:val="99"/>
              </w:rPr>
              <w:t>6. Date Exercisable and</w:t>
            </w:r>
          </w:p>
        </w:tc>
        <w:tc>
          <w:tcPr>
            <w:tcW w:w="100" w:type="dxa"/>
            <w:vAlign w:val="bottom"/>
          </w:tcPr>
          <w:p>
            <w:pPr>
              <w:spacing w:after="0"/>
              <w:rPr>
                <w:sz w:val="15"/>
                <w:szCs w:val="15"/>
                <w:color w:val="auto"/>
              </w:rPr>
            </w:pP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100" w:type="dxa"/>
            <w:vAlign w:val="bottom"/>
          </w:tcPr>
          <w:p>
            <w:pPr>
              <w:spacing w:after="0"/>
              <w:rPr>
                <w:sz w:val="14"/>
                <w:szCs w:val="14"/>
                <w:color w:val="auto"/>
              </w:rPr>
            </w:pP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price is a weighted average price. These shares were sold in multiple transactions ranging from $148.45 and $148.825, inclusive. The reporting person undertakes to provide the Corporation, any security holder of the Corporation, or the Staff of the Securities and Exchange Commission, upon request, full information regarding the number of shares acquired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97.799 shares acquired pursuant to reinvestment of dividends paid by the Corporation. The shares were acquired in transaction exempt from Section 16 of the Securities Exchange Act of 1934 pursuant to Rule 16a-11 thereunder.</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Marie Reyes-Rodriguez,</w:t>
            </w:r>
          </w:p>
        </w:tc>
        <w:tc>
          <w:tcPr>
            <w:tcW w:w="3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05/04/2026</w:t>
            </w:r>
          </w:p>
        </w:tc>
        <w:tc>
          <w:tcPr>
            <w:tcW w:w="0" w:type="dxa"/>
            <w:vAlign w:val="bottom"/>
          </w:tcPr>
          <w:p>
            <w:pPr>
              <w:spacing w:after="0"/>
              <w:rPr>
                <w:sz w:val="1"/>
                <w:szCs w:val="1"/>
                <w:color w:val="auto"/>
              </w:rPr>
            </w:pPr>
          </w:p>
        </w:tc>
      </w:tr>
      <w:tr>
        <w:trPr>
          <w:trHeight w:val="87"/>
        </w:trPr>
        <w:tc>
          <w:tcPr>
            <w:tcW w:w="10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Attorney-in-act</w:t>
            </w:r>
          </w:p>
        </w:tc>
        <w:tc>
          <w:tcPr>
            <w:tcW w:w="10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08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54566" TargetMode="External"/><Relationship Id="rId14" Type="http://schemas.openxmlformats.org/officeDocument/2006/relationships/hyperlink" Target="http://www.sec.gov/cgi-bin/browse-edgar?action=getcompany&amp;CIK=00007639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2026-05-04T17:15:27Z</dcterms:created>
  <dcterms:modified xsi:type="dcterms:W3CDTF">2026-05-04T17:15:27Z</dcterms:modified>
</cp:coreProperties>
</file>