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UNANUE CARLOS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601467</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BAYAMON PR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00960-6067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04"/>
        <w:gridCol w:w="454"/>
        <w:gridCol w:w="617"/>
        <w:gridCol w:w="1408"/>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59,068.034</w:t>
            </w:r>
            <w:r>
              <w:rPr>
                <w:rFonts w:ascii="Times;serif" w:hAnsi="Times;serif"/>
                <w:color w:val="008000"/>
                <w:position w:val="7"/>
                <w:sz w:val="16"/>
                <w:sz w:val="20"/>
                <w:shd w:fill="FFFFFF" w:val="clear"/>
              </w:rPr>
              <w:t>(1)</w:t>
            </w:r>
            <w:r>
              <w:rPr/>
              <w:t xml:space="preserve"> </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75,731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mother</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189.217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converted into an equivalent number of shares of common stock and issued to the reporting person in equal annual installments on each 15th of August of the first five years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2899"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4201</Characters>
  <CharactersWithSpaces>4914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