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2"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1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138"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70"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32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21"/>
          <w:szCs w:val="21"/>
          <w:b w:val="1"/>
          <w:bCs w:val="1"/>
          <w:color w:val="auto"/>
        </w:rPr>
      </w:pPr>
      <w:r>
        <w:rPr>
          <w:rFonts w:ascii="Times New Roman" w:cs="Times New Roman" w:eastAsia="Times New Roman" w:hAnsi="Times New Roman"/>
          <w:sz w:val="21"/>
          <w:szCs w:val="21"/>
          <w:b w:val="1"/>
          <w:bCs w:val="1"/>
          <w:color w:val="auto"/>
        </w:rPr>
        <w:t>TRANSITION REPORT PURSUANT TO SECTION 15 (d) OF THE SECURITIES EXCHANGE ACT OF 1934</w:t>
      </w:r>
    </w:p>
    <w:p>
      <w:pPr>
        <w:spacing w:after="0" w:line="34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22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Commission file number 001-34084</w:t>
      </w:r>
    </w:p>
    <w:p>
      <w:pPr>
        <w:spacing w:after="0" w:line="23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1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POPULAR, INC. U.S.A. 401 (K) SAVINGS AND INVESTMENT PLAN</w:t>
      </w:r>
    </w:p>
    <w:p>
      <w:pPr>
        <w:spacing w:after="0" w:line="25"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4"/>
          <w:szCs w:val="14"/>
          <w:b w:val="1"/>
          <w:bCs w:val="1"/>
          <w:color w:val="auto"/>
        </w:rPr>
        <w:t>(Full title of the Plan and address of the Plan, if different from that of the issuer named below)</w:t>
      </w:r>
    </w:p>
    <w:p>
      <w:pPr>
        <w:spacing w:after="0" w:line="21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POPULAR, INC.</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209 MUÑOZ RIVERA AVENUE</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HATO REY, PUERTO RICO 00918</w:t>
      </w:r>
    </w:p>
    <w:p>
      <w:pPr>
        <w:spacing w:after="0" w:line="2"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auto"/>
        </w:rPr>
        <w:t>(Name of issuer of the securities held pursuant to the plan and the 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320" w:top="225" w:right="7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Popular, Inc. U.S.A. 401(k) Savings and Investment Plan</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Supplemental Schedule</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U.S.A 401(k)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Supplemental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 (s)</w:t>
            </w:r>
          </w:p>
        </w:tc>
      </w:tr>
      <w:tr>
        <w:trPr>
          <w:trHeight w:val="226"/>
        </w:trPr>
        <w:tc>
          <w:tcPr>
            <w:tcW w:w="70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45"/>
        </w:trPr>
        <w:tc>
          <w:tcPr>
            <w:tcW w:w="42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800" w:type="dxa"/>
            <w:vAlign w:val="bottom"/>
            <w:gridSpan w:val="4"/>
          </w:tcPr>
          <w:p>
            <w:pPr>
              <w:spacing w:after="0"/>
              <w:rPr>
                <w:sz w:val="24"/>
                <w:szCs w:val="24"/>
                <w:color w:val="auto"/>
              </w:rPr>
            </w:pPr>
          </w:p>
        </w:tc>
        <w:tc>
          <w:tcPr>
            <w:tcW w:w="4180" w:type="dxa"/>
            <w:vAlign w:val="bottom"/>
          </w:tcPr>
          <w:p>
            <w:pPr>
              <w:spacing w:after="0"/>
              <w:rPr>
                <w:sz w:val="24"/>
                <w:szCs w:val="24"/>
                <w:color w:val="auto"/>
              </w:rPr>
            </w:pPr>
          </w:p>
        </w:tc>
      </w:tr>
      <w:tr>
        <w:trPr>
          <w:trHeight w:val="283"/>
        </w:trPr>
        <w:tc>
          <w:tcPr>
            <w:tcW w:w="6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Statements of Net Assets Available for Benefits as of December 31, 2025 and 2024</w:t>
            </w:r>
          </w:p>
        </w:tc>
        <w:tc>
          <w:tcPr>
            <w:tcW w:w="1020" w:type="dxa"/>
            <w:vAlign w:val="bottom"/>
            <w:gridSpan w:val="2"/>
          </w:tcPr>
          <w:p>
            <w:pPr>
              <w:spacing w:after="0"/>
              <w:rPr>
                <w:sz w:val="24"/>
                <w:szCs w:val="24"/>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7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Statement of Changes in Net Assets Available for Benefits for the year ended December 31, 2025</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2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4860" w:type="dxa"/>
            <w:vAlign w:val="bottom"/>
            <w:gridSpan w:val="5"/>
          </w:tcPr>
          <w:p>
            <w:pPr>
              <w:spacing w:after="0"/>
              <w:rPr>
                <w:sz w:val="24"/>
                <w:szCs w:val="24"/>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345"/>
        </w:trPr>
        <w:tc>
          <w:tcPr>
            <w:tcW w:w="70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Supplemental Schedule</w:t>
            </w:r>
          </w:p>
        </w:tc>
        <w:tc>
          <w:tcPr>
            <w:tcW w:w="4180" w:type="dxa"/>
            <w:vAlign w:val="bottom"/>
          </w:tcPr>
          <w:p>
            <w:pPr>
              <w:spacing w:after="0"/>
              <w:rPr>
                <w:sz w:val="24"/>
                <w:szCs w:val="24"/>
                <w:color w:val="auto"/>
              </w:rPr>
            </w:pPr>
          </w:p>
        </w:tc>
      </w:tr>
      <w:tr>
        <w:trPr>
          <w:trHeight w:val="283"/>
        </w:trPr>
        <w:tc>
          <w:tcPr>
            <w:tcW w:w="70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Schedule H, Line 4i – Schedule of Assets (Held at End of Year) – December 31, 2025</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4"/>
        </w:trPr>
        <w:tc>
          <w:tcPr>
            <w:tcW w:w="61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tcPr>
          <w:p>
            <w:pPr>
              <w:spacing w:after="0"/>
              <w:rPr>
                <w:sz w:val="24"/>
                <w:szCs w:val="24"/>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760" w:type="dxa"/>
            <w:vAlign w:val="bottom"/>
            <w:shd w:val="clear" w:color="auto" w:fill="0000FF"/>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371"/>
        </w:trPr>
        <w:tc>
          <w:tcPr>
            <w:tcW w:w="5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Exhibit 23.1 – Consent of Independent Registered Public Accounting Firm</w:t>
            </w:r>
          </w:p>
        </w:tc>
        <w:tc>
          <w:tcPr>
            <w:tcW w:w="1620" w:type="dxa"/>
            <w:vAlign w:val="bottom"/>
            <w:gridSpan w:val="3"/>
          </w:tcPr>
          <w:p>
            <w:pPr>
              <w:spacing w:after="0"/>
              <w:rPr>
                <w:sz w:val="24"/>
                <w:szCs w:val="24"/>
                <w:color w:val="auto"/>
              </w:rPr>
            </w:pPr>
          </w:p>
        </w:tc>
        <w:tc>
          <w:tcPr>
            <w:tcW w:w="4180" w:type="dxa"/>
            <w:vAlign w:val="bottom"/>
          </w:tcPr>
          <w:p>
            <w:pPr>
              <w:spacing w:after="0"/>
              <w:rPr>
                <w:sz w:val="24"/>
                <w:szCs w:val="24"/>
                <w:color w:val="auto"/>
              </w:rPr>
            </w:pPr>
          </w:p>
        </w:tc>
      </w:tr>
    </w:tbl>
    <w:p>
      <w:pPr>
        <w:spacing w:after="0" w:line="306" w:lineRule="exact"/>
        <w:rPr>
          <w:sz w:val="20"/>
          <w:szCs w:val="20"/>
          <w:color w:val="auto"/>
        </w:rPr>
      </w:pPr>
    </w:p>
    <w:p>
      <w:pPr>
        <w:ind w:left="600" w:right="380" w:hanging="566"/>
        <w:spacing w:after="0" w:line="282" w:lineRule="auto"/>
        <w:tabs>
          <w:tab w:leader="none" w:pos="580" w:val="left"/>
        </w:tabs>
        <w:rPr>
          <w:sz w:val="20"/>
          <w:szCs w:val="20"/>
          <w:color w:val="auto"/>
        </w:rPr>
      </w:pPr>
      <w:r>
        <w:rPr>
          <w:rFonts w:ascii="Times New Roman" w:cs="Times New Roman" w:eastAsia="Times New Roman" w:hAnsi="Times New Roman"/>
          <w:sz w:val="18"/>
          <w:szCs w:val="18"/>
          <w:color w:val="auto"/>
        </w:rPr>
        <w:t>Note:</w:t>
        <w:tab/>
        <w:t>Other schedules required by Section 2520.103-10 of the Department of Labor’s Rules and Regulations for Reporting and Disclosure under the Employee Retirement Income Security Act of 1974 (“ERISA”) have been omitted because they are not applicable or not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651510" cy="626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51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Administrator and Plan Participants of Popular, Inc. U.S.A. 401(k) Savings and Investment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Popular, Inc. U.S.A. 401(k) Savings and Investment Plan (the “Plan”) as of December 31, 2025, and 2024 and the related statement of changes in net assets available for benefits for the year ended December 31, 2025, including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supplemental Schedule H, Line 4i - Schedule of Assets (Held at End of Year) as of December 31, 2025 (''supplemental schedule'')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Employee Retirement Income Security Act of 1974. In our opinion, the supplemental schedule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3261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Juan, Puerto Rico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26, 2026</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1999.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Stamp DLLP216-1140 of the P.R. Society of Certified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Accountants is affixed to the original of this report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U.S.A. 401(k)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171,611,027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151,709,835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Annuity contract with insurance company, at contract value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13,863,917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15,420,430</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Employer contributions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2,523,913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300,780</w:t>
            </w:r>
          </w:p>
        </w:tc>
        <w:tc>
          <w:tcPr>
            <w:tcW w:w="0" w:type="dxa"/>
            <w:vAlign w:val="bottom"/>
          </w:tcPr>
          <w:p>
            <w:pPr>
              <w:spacing w:after="0"/>
              <w:rPr>
                <w:sz w:val="1"/>
                <w:szCs w:val="1"/>
                <w:color w:val="auto"/>
              </w:rPr>
            </w:pPr>
          </w:p>
        </w:tc>
      </w:tr>
      <w:tr>
        <w:trPr>
          <w:trHeight w:val="23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247,853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 interest and other receivables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88,131</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2,667,790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2,630,314</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receivables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5,566,202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3,267,078</w:t>
            </w:r>
          </w:p>
        </w:tc>
        <w:tc>
          <w:tcPr>
            <w:tcW w:w="0" w:type="dxa"/>
            <w:vAlign w:val="bottom"/>
          </w:tcPr>
          <w:p>
            <w:pPr>
              <w:spacing w:after="0"/>
              <w:rPr>
                <w:sz w:val="1"/>
                <w:szCs w:val="1"/>
                <w:color w:val="auto"/>
              </w:rPr>
            </w:pPr>
          </w:p>
        </w:tc>
      </w:tr>
      <w:tr>
        <w:trPr>
          <w:trHeight w:val="223"/>
        </w:trPr>
        <w:tc>
          <w:tcPr>
            <w:tcW w:w="8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191,041,146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170,397,343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94,563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76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191,019,871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170,302,780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U.S.A. 401(k)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Additions to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Total investment income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p>
      <w:pPr>
        <w:spacing w:after="0" w:line="36" w:lineRule="exact"/>
        <w:rPr>
          <w:sz w:val="20"/>
          <w:szCs w:val="20"/>
          <w:color w:val="auto"/>
        </w:rPr>
      </w:pPr>
    </w:p>
    <w:p>
      <w:pPr>
        <w:ind w:left="20" w:right="2793" w:firstLine="687"/>
        <w:spacing w:after="0" w:line="276" w:lineRule="auto"/>
        <w:rPr>
          <w:sz w:val="20"/>
          <w:szCs w:val="20"/>
          <w:color w:val="auto"/>
        </w:rPr>
      </w:pPr>
      <w:r>
        <w:rPr>
          <w:rFonts w:ascii="Times New Roman" w:cs="Times New Roman" w:eastAsia="Times New Roman" w:hAnsi="Times New Roman"/>
          <w:sz w:val="18"/>
          <w:szCs w:val="18"/>
          <w:color w:val="auto"/>
        </w:rPr>
        <w:t>Total investment income and interest from notes receivable from participants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Employer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Rollovers from qualified plans</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Total contributions</w:t>
      </w:r>
    </w:p>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Net additions to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Deductions from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360" w:right="3113"/>
        <w:spacing w:after="0" w:line="276" w:lineRule="auto"/>
        <w:rPr>
          <w:sz w:val="20"/>
          <w:szCs w:val="20"/>
          <w:color w:val="auto"/>
        </w:rPr>
      </w:pPr>
      <w:r>
        <w:rPr>
          <w:rFonts w:ascii="Times New Roman" w:cs="Times New Roman" w:eastAsia="Times New Roman" w:hAnsi="Times New Roman"/>
          <w:sz w:val="18"/>
          <w:szCs w:val="18"/>
          <w:color w:val="auto"/>
        </w:rPr>
        <w:t>Benefits and withdrawals paid to participants, including rollover distributions Administrative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87" w:hanging="587"/>
        <w:spacing w:after="0"/>
        <w:tabs>
          <w:tab w:leader="none" w:pos="58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23,429,237</w:t>
      </w:r>
    </w:p>
    <w:p>
      <w:pPr>
        <w:spacing w:after="0" w:line="38" w:lineRule="exact"/>
        <w:rPr>
          <w:rFonts w:ascii="Times New Roman" w:cs="Times New Roman" w:eastAsia="Times New Roman" w:hAnsi="Times New Roman"/>
          <w:sz w:val="17"/>
          <w:szCs w:val="17"/>
          <w:color w:val="auto"/>
        </w:rPr>
      </w:pPr>
    </w:p>
    <w:p>
      <w:pPr>
        <w:ind w:left="66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1,570,603</w:t>
      </w:r>
    </w:p>
    <w:p>
      <w:pPr>
        <w:spacing w:after="0" w:line="3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24,999,840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429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1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220,248</w:t>
      </w:r>
    </w:p>
    <w:p>
      <w:pPr>
        <w:spacing w:after="0" w:line="3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25,220,088</w:t>
      </w:r>
    </w:p>
    <w:p>
      <w:pPr>
        <w:spacing w:after="0" w:line="25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6,113,196</w:t>
      </w:r>
    </w:p>
    <w:p>
      <w:pPr>
        <w:spacing w:after="0" w:line="27" w:lineRule="exact"/>
        <w:rPr>
          <w:sz w:val="20"/>
          <w:szCs w:val="20"/>
          <w:color w:val="auto"/>
        </w:rPr>
      </w:pPr>
    </w:p>
    <w:p>
      <w:pPr>
        <w:ind w:left="667"/>
        <w:spacing w:after="0"/>
        <w:rPr>
          <w:sz w:val="20"/>
          <w:szCs w:val="20"/>
          <w:color w:val="auto"/>
        </w:rPr>
      </w:pPr>
      <w:r>
        <w:rPr>
          <w:rFonts w:ascii="Times New Roman" w:cs="Times New Roman" w:eastAsia="Times New Roman" w:hAnsi="Times New Roman"/>
          <w:sz w:val="18"/>
          <w:szCs w:val="18"/>
          <w:color w:val="auto"/>
        </w:rPr>
        <w:t>9,737,931</w:t>
      </w:r>
    </w:p>
    <w:p>
      <w:pPr>
        <w:spacing w:after="0" w:line="23" w:lineRule="exact"/>
        <w:rPr>
          <w:sz w:val="20"/>
          <w:szCs w:val="20"/>
          <w:color w:val="auto"/>
        </w:rPr>
      </w:pPr>
    </w:p>
    <w:p>
      <w:pPr>
        <w:ind w:left="667"/>
        <w:spacing w:after="0"/>
        <w:rPr>
          <w:sz w:val="20"/>
          <w:szCs w:val="20"/>
          <w:color w:val="auto"/>
        </w:rPr>
      </w:pPr>
      <w:r>
        <w:rPr>
          <w:rFonts w:ascii="Times New Roman" w:cs="Times New Roman" w:eastAsia="Times New Roman" w:hAnsi="Times New Roman"/>
          <w:sz w:val="18"/>
          <w:szCs w:val="18"/>
          <w:color w:val="auto"/>
        </w:rPr>
        <w:t>2,102,573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429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1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17,953,700</w:t>
      </w:r>
    </w:p>
    <w:p>
      <w:pPr>
        <w:spacing w:after="0" w:line="36" w:lineRule="exact"/>
        <w:rPr>
          <w:sz w:val="20"/>
          <w:szCs w:val="20"/>
          <w:color w:val="auto"/>
        </w:rPr>
      </w:pPr>
    </w:p>
    <w:p>
      <w:pPr>
        <w:ind w:left="587" w:hanging="587"/>
        <w:spacing w:after="0"/>
        <w:tabs>
          <w:tab w:leader="none" w:pos="58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43,173,788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9429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71" w:lineRule="exact"/>
        <w:rPr>
          <w:sz w:val="20"/>
          <w:szCs w:val="20"/>
          <w:color w:val="auto"/>
        </w:rPr>
      </w:pPr>
    </w:p>
    <w:p>
      <w:pPr>
        <w:ind w:left="587" w:hanging="587"/>
        <w:spacing w:after="0"/>
        <w:tabs>
          <w:tab w:leader="none" w:pos="58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22,138,050</w:t>
      </w:r>
    </w:p>
    <w:p>
      <w:pPr>
        <w:spacing w:after="0" w:line="38" w:lineRule="exact"/>
        <w:rPr>
          <w:rFonts w:ascii="Times New Roman" w:cs="Times New Roman" w:eastAsia="Times New Roman" w:hAnsi="Times New Roman"/>
          <w:sz w:val="17"/>
          <w:szCs w:val="17"/>
          <w:color w:val="auto"/>
        </w:rPr>
      </w:pPr>
    </w:p>
    <w:p>
      <w:pPr>
        <w:ind w:left="80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318,647</w:t>
      </w:r>
    </w:p>
    <w:p>
      <w:pPr>
        <w:spacing w:after="0" w:line="52" w:lineRule="exact"/>
        <w:rPr>
          <w:sz w:val="20"/>
          <w:szCs w:val="20"/>
          <w:color w:val="auto"/>
        </w:rPr>
      </w:pPr>
    </w:p>
    <w:p>
      <w:pPr>
        <w:sectPr>
          <w:pgSz w:w="11900" w:h="16838" w:orient="portrait"/>
          <w:cols w:equalWidth="0" w:num="2">
            <w:col w:w="9053" w:space="720"/>
            <w:col w:w="1467"/>
          </w:cols>
          <w:pgMar w:left="320" w:top="117" w:right="339" w:bottom="1440" w:gutter="0" w:footer="0" w:header="0"/>
        </w:sectPr>
      </w:pPr>
    </w:p>
    <w:tbl>
      <w:tblPr>
        <w:tblLayout w:type="fixed"/>
        <w:tblInd w:w="0" w:type="dxa"/>
        <w:tblCellMar>
          <w:top w:w="0" w:type="dxa"/>
          <w:left w:w="0" w:type="dxa"/>
          <w:bottom w:w="0" w:type="dxa"/>
          <w:right w:w="0" w:type="dxa"/>
        </w:tblCellMar>
      </w:tblPr>
      <w:tr>
        <w:trPr>
          <w:trHeight w:val="231"/>
        </w:trPr>
        <w:tc>
          <w:tcPr>
            <w:tcW w:w="9760" w:type="dxa"/>
            <w:vAlign w:val="bottom"/>
            <w:tcBorders>
              <w:top w:val="single" w:sz="8" w:color="CCEEFF"/>
              <w:bottom w:val="single" w:sz="8" w:color="CCEEFF"/>
            </w:tcBorders>
            <w:shd w:val="clear" w:color="auto" w:fill="CCEEFF"/>
          </w:tcPr>
          <w:p>
            <w:pPr>
              <w:ind w:left="720"/>
              <w:spacing w:after="0" w:line="206" w:lineRule="exact"/>
              <w:rPr>
                <w:sz w:val="20"/>
                <w:szCs w:val="20"/>
                <w:color w:val="auto"/>
              </w:rPr>
            </w:pPr>
            <w:r>
              <w:rPr>
                <w:rFonts w:ascii="Times New Roman" w:cs="Times New Roman" w:eastAsia="Times New Roman" w:hAnsi="Times New Roman"/>
                <w:sz w:val="18"/>
                <w:szCs w:val="18"/>
                <w:color w:val="auto"/>
              </w:rPr>
              <w:t>Total deductions</w:t>
            </w:r>
          </w:p>
        </w:tc>
        <w:tc>
          <w:tcPr>
            <w:tcW w:w="300" w:type="dxa"/>
            <w:vAlign w:val="bottom"/>
            <w:tcBorders>
              <w:top w:val="single" w:sz="8" w:color="auto"/>
              <w:bottom w:val="single" w:sz="8" w:color="auto"/>
            </w:tcBorders>
            <w:shd w:val="clear" w:color="auto" w:fill="CCEEFF"/>
          </w:tcPr>
          <w:p>
            <w:pPr>
              <w:jc w:val="right"/>
              <w:ind w:right="110"/>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22,456,697</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assets available for benefits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76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20,717,091</w:t>
            </w:r>
          </w:p>
        </w:tc>
        <w:tc>
          <w:tcPr>
            <w:tcW w:w="0" w:type="dxa"/>
            <w:vAlign w:val="bottom"/>
          </w:tcPr>
          <w:p>
            <w:pPr>
              <w:spacing w:after="0"/>
              <w:rPr>
                <w:sz w:val="1"/>
                <w:szCs w:val="1"/>
                <w:color w:val="auto"/>
              </w:rPr>
            </w:pPr>
          </w:p>
        </w:tc>
      </w:tr>
      <w:tr>
        <w:trPr>
          <w:trHeight w:val="20"/>
        </w:trPr>
        <w:tc>
          <w:tcPr>
            <w:tcW w:w="9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170,302,780</w:t>
            </w:r>
          </w:p>
        </w:tc>
        <w:tc>
          <w:tcPr>
            <w:tcW w:w="0" w:type="dxa"/>
            <w:vAlign w:val="bottom"/>
          </w:tcPr>
          <w:p>
            <w:pPr>
              <w:spacing w:after="0"/>
              <w:rPr>
                <w:sz w:val="1"/>
                <w:szCs w:val="1"/>
                <w:color w:val="auto"/>
              </w:rPr>
            </w:pPr>
          </w:p>
        </w:tc>
      </w:tr>
      <w:tr>
        <w:trPr>
          <w:trHeight w:val="20"/>
        </w:trPr>
        <w:tc>
          <w:tcPr>
            <w:tcW w:w="9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191,019,871</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U.S.A. 401(k)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Plan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Popular, Inc. U.S.A. 401(k) Savings and Investment Plan (the “Plan”) provides only general information. Participants should refer to the Plan Document for a more complete description of its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Description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is sponsored by Popular, Inc. (the “Corporation'' or ''Plan Sponsor”). The Plan is a defined contribution plan covering any United States (excluding Puerto Rico), United States Virgin Islands and British Virgin Islands employees of the Plan Sponsor who have completed 30 days of service. The Plan provides the participants with the ability to invest in mutual funds, single group annuity contract, pooled separate accounts and common stock in Popular, Inc. The Plan is subject to the provisions of Employee Retirement Income Security Act of 1974 (“ERISA”).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may make pre-tax contributions up to the maximum permitted amount based on IRS limitations (maximum $23,500 in 2025 and $23,000 in 2024), as defined in the Plan documents. Participants direct the investment of Plan contributions into various investment options offered by the Plan. Also, the Plan permits catch-up contributions that are before tax contributions made in excess of the deferral limit by a participant who has reached age 50, limited for the calendar year ended on December 31, 2025 and 2024 to $7,500.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plan provides that newly hired employees are automatically enrolled in the Plan at a pre-tax rate of 6% , with a match formula of 50% for each dollar pre-tax contribution up to a maximum of 8% and for an automatic annual increase of 1% to the employees’ pre-tax contribution until such contribution reaches a certain percent which on December 31, 2025 was 10% . Participants shall be given written notice of the automatic increase no less than 30 days or more than 90 days before the increase is to be effective. Participants, upon receipt of the notice of automatic increase, may elect to change their percentage of before-tax contributions to a different amount, including zero (0%), by the deadline established by the Plan Administrator to avoid the automatic increase. Matching contributions are invested pursuant to each participant’s investment directions.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Corporation may make discretionary contributions to its own employees out of its net profits in such amounts as the Corporation’s Board of Directors may determine. During the year ended December 31, 2025, the Corporation made discretionary contributions of $2,216,534 related to profit sharing distribution.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Plan provides for an additional employer contribution known as “True-Up contribution” to ensure participants receive the maximum matching benefit under the Plan’s contribution guidelines. In 2026, the Corporation reviewed the matching contributions for the year 2025 and as a result determined to make a True-Up contribution of $200,400, which is included as employer contributions receivable in the accompanying Statement of Net Assets Available for Benefits as of December 31, 2025. In 2025, the Corporation reviewed the matching contributions for the year 2024 and as a result made a True-Up contribution of $204,422, which is included as employer contributions receivable in the accompanying Statement of Net Assets Available for Benefits as of December 31,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participant account is credited with its contribution and allocation of: (a) its own Corporation matching and profit-sharing contribution and (b) plan earnings. Allocations are based on participant earnings or account balances, as defined in the Plan Document. The benefit to which a participant is entitled is the benefit that can be provided from the participant’s vested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 and vesting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employees are eligible to participate in the Plan on the first day of the month, following 30 days of service. Participants are immediately vested in their voluntary contributions plus actual earnings thereon. Vesting in the Corporations’ matching and discretionary profit-sharing contributions plus actual earnings thereon is based on years of service since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U.S.A. 401(k)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commencement of employment with the Corporation. These contributions and actual earnings thereon vest in accordance with the following schedule:</w:t>
      </w:r>
    </w:p>
    <w:p>
      <w:pPr>
        <w:spacing w:after="0" w:line="271"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of Service</w:t>
            </w: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Vesting %</w:t>
            </w:r>
          </w:p>
        </w:tc>
      </w:tr>
      <w:tr>
        <w:trPr>
          <w:trHeight w:val="48"/>
        </w:trPr>
        <w:tc>
          <w:tcPr>
            <w:tcW w:w="2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5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least 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least 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least 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least 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 or more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9"/>
                <w:szCs w:val="19"/>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Participants may borrow against their fund accounts a minimum of $1,000 up to a maximum of the lesser of $50,000 or 50% of the vested portion of the participant’s equity in the Plan. Loan transactions are treated as a transfer to (from) the investment fund from (to) notes receivable from participants. Loan terms range from one to five years, or longer if used to acquire a principal residence. Loans are collateralized by the balance in the participant’s account and bear interest at a rate commensurate with prevailing rates as determined by the Plan Administrator. As of December 31, 2025, and 2024 interest rates ranged from 4.25% to 9.50%. Principal and interest are paid ratably through bi-weekly payroll deductions.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 and Withdrawals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Plan participants are permitted to make withdrawals from the Plan from after-tax contributions balance, subject to provisions in the Plan Document as amended. If a participant suffers financial hardship, as defined in the Plan Document, the participant may request a withdrawal from his/her pre-tax contributions balance. Upon termination of service due to disability, retirement or other reasons, the Plan provides that benefits be distributed in a lump sum distribution in cash, with the exception of those participants that are required to receive required minimum distributions, in flexible installment distributions. In the case of participant termination due to death, the entire vested amount is paid to the person or persons legally entitled thereto.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 to do so, the Plan Sponsor may terminate the Plan for any reason at any time, in which event there shall be no employer duty to make contributions. In the event of termination, all participants become fully vested and have a non-forfeitable right to their full account balance.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Expenses and Administration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is administered by Popular, Inc.’s Benefits Committee (the “Committee”) which, in turn, may delegate certain administrative functions to other committees and/or officers of the Corporation. The Committee has overall responsibility for the operations and administration of the Plan. The named fiduciary of the Plan for purposes of investment related matters is the Popular, Inc. Corporate Investment Committee.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Principal Financial Group (“PFG”) is the record keeper for the Plan and Principal Trust Company, a subsidiary of PFG, is the trustee. Principal Life Insurance Company (“PLIC”), a member of PFG, manages the pooled separate accounts and the single annuity contract.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Forfeited accounts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Forfeited balances of terminated participants’ non-vested accounts may first be used to pay administrative expenses, to reduce the earliest employer contributions made after the forfeitures are determined, or at the Corporation’s discretion, may be redistributed among participants after a five (5) year severance period. During the severance period, if the terminated participant is re-employed by the Corporation, the dollar value at the date of re-employment shall be restored to the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U.S.A. 401(k)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account if the re-employed participant repays to the Plan an amount equal to the dollar value of his/her vested balance distributed upon termination.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the Plan used forfeiture accounts to pay administrative expenses in the amount of $184,635, which included expenses accrued in prior year, and $50,101 to cover the 2024 True-Up Contribution. Forfeited non-vested accounts amounted to $64,100 and $68,746 at December 31, 2025 and 2024,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Non-Participant Directed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there were no non-participant directed investments in the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accounting policies followed by the Plan in the preparation of the financial statements are summarized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Plan investments are presented at fair value. Shares of registered investment companies are presented at published market prices which represent the net asset value (“NAV”) of shares held by the Plan at the reporting date. Popular, Inc. common stock is presented at the quoted closing market price at the reporting date. Non-registered pooled separate accounts managed by PLIC are valued daily based on the market value of the underlying assets in each separate account. The single group annuity contract is presented at contract value which is the aggregation of contributions, plus interest, less withdrawals, if any. The Plan presents in the Statement of Changes in Net Assets Available for Benefits the net appreciation (depreciation) in the fair value of its investments which consists of the realized gains or losses and the unrealized appreciation (depreciation) on those investments. Purchases and sales of securities are recorded on a trade date basis. Dividends are recorded on the ex-dividend date and interest is recorded under the accrual basis and credited to each participant’s account, as defined by the Plan Document. Realized gains and losses from security transactions are reported on the average cost basis.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determines the fair values of its investments based on the fair value framework established in the Financial Accounting Standards Board (FASB) Accounting Standards Codification (ASC) Subtopic 820-10 “Fair Value Measurement”, which requires an entity to maximize the use of observable inputs and minimize the use of unobservable inputs when measuring fair value. Refer to Note 3 to these financial statements for the fair value disclosures required as of December 31, 2025 and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Administrative expenses reflected in the Statement of Changes in Net Assets Available for Benefits included member service fees, loan expenses, recordkeeping services, audit fees as well as investment advisory fees. Participant accounts are charged quarterly for any applicable administrative expenses following an asset-based fee method. Forfeitures accounts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U.S.A. 401(k)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used to pay administrative expenses. The Plan Sponsor shall pay administrative expenses from its general assets to the extent funds are not available from the Plan’s forfeitures account and are not charged to the participant accounts.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and employer matching contributions are recorded on an accrual basis in the period in which the payroll is earned.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Discretionary contributions are recorded in the period in which they are earned by the participant as determined by the Corporation’s Board of Directors.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Rollovers Distributions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Terminated employees or retirees may elect to transfer their savings to other plans qualified by the IRS, and are recorded when paid.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Rollovers Contributions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Rollovers Contributions to the Plan consist of monies received by a Participant from another plan qualified by the IRS, and are recorded when received.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Principal and interest is paid ratably through bi-weekly payroll deductions. Principal portion of the loan payments are considered as investment transfers which do not impact the Statement of Changes in Net Assets Available for Benefits. Notes receivable from participants in default are recorded as a distribution based upon the terms of the plan document when they are deemed uncollectible.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Refundable contributions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an annual basis, the plan completes a non-discrimination test pursuant to IRS regulations. Excess contributions determined as a result of this test, if any, are netted against the participant contributions in the Statement of Changes in Net Assets Available for Benefits. For the years ended December 31, 2025 and 2024, the plan passed the non-discrimination test.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measures fair value as required by ASC Subtopic 820-10, “Fair Value Measurement”, which provides a framework for measuring fair value under accounting principles generally accepted in the United States. Under ASC Subtopic 820-10, fair value is defined as the price that would be received to sell an asset or paid to transfer a liability in an orderly transaction between market participants at the measurement date. A fair value measurement assumes that the transaction to sell the asset or transfer the liability occurs in the principal market for the asset or liability or, in the absence of a principal market, the most advantageous market for the asset or liability.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820 establishes a fair value hierarchy that prioritizes the inputs and valuation techniques used to measure fair value into three levels in order to increase consistency and comparability in fair value measurements and disclosures. The classification of assets and liabilities within the hierarchy is based on whether the inputs to the valuation methodology used for the fair value measurement are observable or unobservable. Observable inputs reflect the assumptions market participants would use in pricing the asset or liability based on market data obtained from independent sources.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U.S.A. 401(k)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Unobservable inputs reflect the Plan’s estimates about assumptions that market participants would use in pricing the asset or liability based on the best information available. The hierarchy is broken down into three levels based on the reliability of inputs as follows: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Unadjusted quoted prices in active markets for identical assets that the Plan has the ability to access at the measurement date. Valuation on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does not necessitate a significant degree of judgment since valuations are based on quoted prices that are readily available in an active market.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Quoted prices other than those included in Level 1 that are observable either directly or indirectly. Level 2 inputs include quoted prices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assets or liabilities in active markets, quoted prices for identical or similar assets or liabilities in markets that are not active, or other inputs that are observable or that can be corroborated by observable market data for substantially the full term of the financial instrument.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 </w:t>
      </w:r>
      <w:r>
        <w:rPr>
          <w:rFonts w:ascii="Times New Roman" w:cs="Times New Roman" w:eastAsia="Times New Roman" w:hAnsi="Times New Roman"/>
          <w:sz w:val="18"/>
          <w:szCs w:val="18"/>
          <w:color w:val="auto"/>
        </w:rPr>
        <w:t>Inputs are unobservable and significant to the fair value measurement. Unobservable inputs reflect the Plan’s own judgments about assumptions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market participants would use in pricing the asset or liability.</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is a description of the Plan’s valuation methodologies used for assets measured at fair value. There have been no changes in the methodologies used at December 31, 2025 and 2024.</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Collective Investment Trust (CIT): </w:t>
      </w:r>
      <w:r>
        <w:rPr>
          <w:rFonts w:ascii="Times New Roman" w:cs="Times New Roman" w:eastAsia="Times New Roman" w:hAnsi="Times New Roman"/>
          <w:sz w:val="18"/>
          <w:szCs w:val="18"/>
          <w:color w:val="auto"/>
        </w:rPr>
        <w:t>The CIT is a pooled investment vehicle maintained exclusively for the collective investment of money from several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administered. The CIT is not registered with the Securities and Exchange Commission. The purchase or redemption price of the units is determined at the daily closing NAV price as reported by the fund based on the current market values of the underlying assets of the fund. This CTI is measured at NAV.</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Mutual Funds: </w:t>
      </w:r>
      <w:r>
        <w:rPr>
          <w:rFonts w:ascii="Times New Roman" w:cs="Times New Roman" w:eastAsia="Times New Roman" w:hAnsi="Times New Roman"/>
          <w:sz w:val="18"/>
          <w:szCs w:val="18"/>
          <w:color w:val="auto"/>
        </w:rPr>
        <w:t>Valued at the daily closing NAV price as reported by the fund. Mutual funds held by the Plan are open-end mutual funds that are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Securities and Exchange Commission. These funds are required to publish their daily NAV and to transact at that price. These securities are classified as Level 2. Investments in mutual funds generally may be redeemed daily.</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Pooled Separate Accounts (“PSA”): </w:t>
      </w:r>
      <w:r>
        <w:rPr>
          <w:rFonts w:ascii="Times New Roman" w:cs="Times New Roman" w:eastAsia="Times New Roman" w:hAnsi="Times New Roman"/>
          <w:sz w:val="18"/>
          <w:szCs w:val="18"/>
          <w:color w:val="auto"/>
        </w:rPr>
        <w:t>Valued daily based on the market value of the underlying net assets in each separate account. The majority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underlying net assets have observable Level 1 and/or 2 quoted pricing inputs which are used to determine the unit value of the PSA which is not publicly quoted. These PSAs are classified as Level 2, except for the Principal U.S. Property SEP Account which is an investment in a real estate fund that measures fair value on a recurring basis based on the NAV of the underlying assets, using the practical expedient. The redemption frequency of each of these PSA is daily, and there are no redemption restrictions. There are no unfunded commitments related to the Plan’s investment in PSAs.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Popular, Inc. Common Stock: </w:t>
      </w:r>
      <w:r>
        <w:rPr>
          <w:rFonts w:ascii="Times New Roman" w:cs="Times New Roman" w:eastAsia="Times New Roman" w:hAnsi="Times New Roman"/>
          <w:sz w:val="18"/>
          <w:szCs w:val="18"/>
          <w:color w:val="auto"/>
        </w:rPr>
        <w:t>Equity securities with quoted market prices obtained from an active exchange market are classified as Level 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preceding methods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Plan’s net assets at fair value as of December 31, 2025 and 2024. Investments measured at net asset value per share as a practical expedient have not been classified in the fair value hierarchy but are presented in order to permit reconciliation of the plan’s assets.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U.S.A. 401(k)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9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Assets at Fair Value as of December 31, 2025</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5"/>
        </w:trPr>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Measured at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0"/>
        </w:trPr>
        <w:tc>
          <w:tcPr>
            <w:tcW w:w="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460" w:type="dxa"/>
            <w:vAlign w:val="bottom"/>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NAV</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140" w:type="dxa"/>
            <w:vAlign w:val="bottom"/>
            <w:tcBorders>
              <w:bottom w:val="single" w:sz="8" w:color="CCEEFF"/>
            </w:tcBorders>
          </w:tcPr>
          <w:p>
            <w:pPr>
              <w:spacing w:after="0"/>
              <w:rPr>
                <w:sz w:val="3"/>
                <w:szCs w:val="3"/>
                <w:color w:val="auto"/>
              </w:rPr>
            </w:pPr>
          </w:p>
        </w:tc>
        <w:tc>
          <w:tcPr>
            <w:tcW w:w="29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3"/>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Collective Investment Trust</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9,129,628</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9,129,628</w:t>
            </w:r>
          </w:p>
        </w:tc>
      </w:tr>
      <w:tr>
        <w:trPr>
          <w:trHeight w:val="223"/>
        </w:trPr>
        <w:tc>
          <w:tcPr>
            <w:tcW w:w="3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Mutual Funds</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57,916,770</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57,916,770</w:t>
            </w:r>
          </w:p>
        </w:tc>
      </w:tr>
      <w:tr>
        <w:trPr>
          <w:trHeight w:val="223"/>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Pooled separate accounts</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88,705,092</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933,211</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89,638,303</w:t>
            </w:r>
          </w:p>
        </w:tc>
      </w:tr>
      <w:tr>
        <w:trPr>
          <w:trHeight w:val="223"/>
        </w:trPr>
        <w:tc>
          <w:tcPr>
            <w:tcW w:w="3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Popular, Inc. Common Stock</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14,926,326</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14,926,326</w:t>
            </w:r>
          </w:p>
        </w:tc>
      </w:tr>
      <w:tr>
        <w:trPr>
          <w:trHeight w:val="248"/>
        </w:trPr>
        <w:tc>
          <w:tcPr>
            <w:tcW w:w="3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14,926,326 $</w:t>
            </w:r>
          </w:p>
        </w:tc>
        <w:tc>
          <w:tcPr>
            <w:tcW w:w="3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146,621,862 $</w:t>
            </w: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10,062,839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171,611,027</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940" w:type="dxa"/>
            <w:vAlign w:val="bottom"/>
            <w:tcBorders>
              <w:top w:val="single" w:sz="8" w:color="CCEEFF"/>
              <w:bottom w:val="single" w:sz="8" w:color="auto"/>
            </w:tcBorders>
            <w:gridSpan w:val="4"/>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r>
        <w:trPr>
          <w:trHeight w:val="504"/>
        </w:trPr>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4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Assets at Fair Value as of December 31, 2024</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1"/>
        </w:trPr>
        <w:tc>
          <w:tcPr>
            <w:tcW w:w="1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Measured at</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1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7"/>
                <w:szCs w:val="17"/>
                <w:color w:val="auto"/>
              </w:rPr>
            </w:pPr>
          </w:p>
        </w:tc>
        <w:tc>
          <w:tcPr>
            <w:tcW w:w="14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7"/>
                <w:szCs w:val="17"/>
                <w:color w:val="auto"/>
              </w:rPr>
            </w:pPr>
          </w:p>
        </w:tc>
        <w:tc>
          <w:tcPr>
            <w:tcW w:w="12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NAV</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140" w:type="dxa"/>
            <w:vAlign w:val="bottom"/>
          </w:tcPr>
          <w:p>
            <w:pPr>
              <w:spacing w:after="0"/>
              <w:rPr>
                <w:sz w:val="3"/>
                <w:szCs w:val="3"/>
                <w:color w:val="auto"/>
              </w:rPr>
            </w:pPr>
          </w:p>
        </w:tc>
        <w:tc>
          <w:tcPr>
            <w:tcW w:w="29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23"/>
        </w:trPr>
        <w:tc>
          <w:tcPr>
            <w:tcW w:w="140" w:type="dxa"/>
            <w:vAlign w:val="bottom"/>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Collective Investment Trust</w:t>
            </w:r>
          </w:p>
        </w:tc>
        <w:tc>
          <w:tcPr>
            <w:tcW w:w="2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8,574,684</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8,574,684</w:t>
            </w:r>
          </w:p>
        </w:tc>
        <w:tc>
          <w:tcPr>
            <w:tcW w:w="140" w:type="dxa"/>
            <w:vAlign w:val="bottom"/>
          </w:tcPr>
          <w:p>
            <w:pPr>
              <w:spacing w:after="0"/>
              <w:rPr>
                <w:sz w:val="19"/>
                <w:szCs w:val="19"/>
                <w:color w:val="auto"/>
              </w:rPr>
            </w:pPr>
          </w:p>
        </w:tc>
      </w:tr>
      <w:tr>
        <w:trPr>
          <w:trHeight w:val="223"/>
        </w:trPr>
        <w:tc>
          <w:tcPr>
            <w:tcW w:w="140" w:type="dxa"/>
            <w:vAlign w:val="bottom"/>
          </w:tcPr>
          <w:p>
            <w:pPr>
              <w:spacing w:after="0"/>
              <w:rPr>
                <w:sz w:val="19"/>
                <w:szCs w:val="19"/>
                <w:color w:val="auto"/>
              </w:rPr>
            </w:pPr>
          </w:p>
        </w:tc>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Mutual Funds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54,092,040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54,092,040</w:t>
            </w:r>
          </w:p>
        </w:tc>
        <w:tc>
          <w:tcPr>
            <w:tcW w:w="140" w:type="dxa"/>
            <w:vAlign w:val="bottom"/>
          </w:tcPr>
          <w:p>
            <w:pPr>
              <w:spacing w:after="0"/>
              <w:rPr>
                <w:sz w:val="19"/>
                <w:szCs w:val="19"/>
                <w:color w:val="auto"/>
              </w:rPr>
            </w:pPr>
          </w:p>
        </w:tc>
      </w:tr>
      <w:tr>
        <w:trPr>
          <w:trHeight w:val="223"/>
        </w:trPr>
        <w:tc>
          <w:tcPr>
            <w:tcW w:w="140" w:type="dxa"/>
            <w:vAlign w:val="bottom"/>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Pooled separate accounts</w:t>
            </w:r>
          </w:p>
        </w:tc>
        <w:tc>
          <w:tcPr>
            <w:tcW w:w="2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76,013,409</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1,199,782</w:t>
            </w:r>
          </w:p>
        </w:tc>
        <w:tc>
          <w:tcPr>
            <w:tcW w:w="4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77,213,191</w:t>
            </w:r>
          </w:p>
        </w:tc>
        <w:tc>
          <w:tcPr>
            <w:tcW w:w="140" w:type="dxa"/>
            <w:vAlign w:val="bottom"/>
          </w:tcPr>
          <w:p>
            <w:pPr>
              <w:spacing w:after="0"/>
              <w:rPr>
                <w:sz w:val="19"/>
                <w:szCs w:val="19"/>
                <w:color w:val="auto"/>
              </w:rPr>
            </w:pPr>
          </w:p>
        </w:tc>
      </w:tr>
      <w:tr>
        <w:trPr>
          <w:trHeight w:val="223"/>
        </w:trPr>
        <w:tc>
          <w:tcPr>
            <w:tcW w:w="140" w:type="dxa"/>
            <w:vAlign w:val="bottom"/>
          </w:tcPr>
          <w:p>
            <w:pPr>
              <w:spacing w:after="0"/>
              <w:rPr>
                <w:sz w:val="19"/>
                <w:szCs w:val="19"/>
                <w:color w:val="auto"/>
              </w:rPr>
            </w:pPr>
          </w:p>
        </w:tc>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Popular, Inc. Common Stock</w:t>
            </w: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11,829,920</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11,829,920</w:t>
            </w:r>
          </w:p>
        </w:tc>
        <w:tc>
          <w:tcPr>
            <w:tcW w:w="140" w:type="dxa"/>
            <w:vAlign w:val="bottom"/>
          </w:tcPr>
          <w:p>
            <w:pPr>
              <w:spacing w:after="0"/>
              <w:rPr>
                <w:sz w:val="19"/>
                <w:szCs w:val="19"/>
                <w:color w:val="auto"/>
              </w:rPr>
            </w:pPr>
          </w:p>
        </w:tc>
      </w:tr>
      <w:tr>
        <w:trPr>
          <w:trHeight w:val="248"/>
        </w:trPr>
        <w:tc>
          <w:tcPr>
            <w:tcW w:w="14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11,829,920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130,105,449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9,774,466</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151,709,835</w:t>
            </w:r>
          </w:p>
        </w:tc>
        <w:tc>
          <w:tcPr>
            <w:tcW w:w="14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 Contract with Principal Life Insurance Company (“PLIC”)</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invests in a single group annuity contract with a fixed rate of interest. In accordance with ASC Subtopic 820-10, this investment is presented in the financial statements at its contract value. Contract value is the relevant measurement attribute for that portion of the net assets available for benefits of a defined-contribution plan attributed to fully benefit-responsive investment contracts because contract value is the amount participants would receive if they were to initiate permitted transactions under the terms of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offers the Principal Fixed Income Guaranteed Option (“PFIGO”), which is a benefit- responsive group annuity contract issued by PLIC.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contract, the crediting rate is reset on a semiannual basis. There was no minimum crediting rate.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PFIGO is a single group annuity contract with a fixed rate of interest. It is not a portfolio of contracts whose yields are based on changes in fair value of underlying assets as would be found in a stable value fund. As a result, the average yield earned by the Plan is the yield earned (i.e., interest credited) on the group annuity contracts. The interest rate history for the contracts is as follows: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PFIGO</w:t>
      </w:r>
    </w:p>
    <w:p>
      <w:pPr>
        <w:spacing w:after="0" w:line="275"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Time Period</w:t>
            </w:r>
          </w:p>
        </w:tc>
        <w:tc>
          <w:tcPr>
            <w:tcW w:w="1680" w:type="dxa"/>
            <w:vAlign w:val="bottom"/>
            <w:gridSpan w:val="3"/>
          </w:tcPr>
          <w:p>
            <w:pPr>
              <w:jc w:val="right"/>
              <w:ind w:right="960"/>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tcPr>
          <w:p>
            <w:pPr>
              <w:spacing w:after="0"/>
              <w:rPr>
                <w:sz w:val="13"/>
                <w:szCs w:val="13"/>
                <w:color w:val="auto"/>
              </w:rPr>
            </w:pPr>
          </w:p>
        </w:tc>
      </w:tr>
      <w:tr>
        <w:trPr>
          <w:trHeight w:val="48"/>
        </w:trPr>
        <w:tc>
          <w:tcPr>
            <w:tcW w:w="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r>
      <w:tr>
        <w:trPr>
          <w:trHeight w:val="230"/>
        </w:trPr>
        <w:tc>
          <w:tcPr>
            <w:tcW w:w="5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May 31</w:t>
            </w:r>
          </w:p>
        </w:tc>
        <w:tc>
          <w:tcPr>
            <w:tcW w:w="16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4.85%</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6.05%</w:t>
            </w:r>
          </w:p>
        </w:tc>
      </w:tr>
      <w:tr>
        <w:trPr>
          <w:trHeight w:val="230"/>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June 1 - November 30</w:t>
            </w: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4.95%</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5.15%</w:t>
            </w:r>
          </w:p>
        </w:tc>
      </w:tr>
      <w:tr>
        <w:trPr>
          <w:trHeight w:val="230"/>
        </w:trPr>
        <w:tc>
          <w:tcPr>
            <w:tcW w:w="5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w:t>
            </w:r>
          </w:p>
        </w:tc>
        <w:tc>
          <w:tcPr>
            <w:tcW w:w="16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4.75%</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w:t>
            </w:r>
          </w:p>
        </w:tc>
      </w:tr>
      <w:tr>
        <w:trPr>
          <w:trHeight w:val="175"/>
        </w:trPr>
        <w:tc>
          <w:tcPr>
            <w:tcW w:w="528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The PFIGO investment option crediting rate resets semiannually at</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34"/>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1st and June 1st.</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definition, a group annuity contract is an insurance contract. As a result, the Plan may transact according to the terms defined in the contract at any time. Interest is credited to the Guaranteed Interest Fund on a daily basis from the date deposits are accepted until paid, transferred or applied in full. Fees may be paid in one of the following three ways:</w:t>
      </w:r>
    </w:p>
    <w:p>
      <w:pPr>
        <w:spacing w:after="0" w:line="68" w:lineRule="exact"/>
        <w:rPr>
          <w:sz w:val="20"/>
          <w:szCs w:val="20"/>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being netted from the effective annual interest rate;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U.S.A. 401(k)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being paid separately by the Plan sponsors; or</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being deducted from the Guaranteed Interest Fund.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Benefit payments are deducted from the value of the Guaranteed Interest Fund to the extent that the Composite Value is sufficient to make such payments. Payments and transfers are made in full within 3 business days after the date payment or transfer has been requested. In the event that market conditions are such that it is determined that they will not allow for the orderly transfer or sale of financial instruments, up to an additional 30 days may be required to make such payments or transfers.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events limit the ability of the Plan to transact at contract value with the issuer. Such events include the following: (1) termination of a Plan’s interest, if the Plan Sponsor wishes to terminate the Plan’s interest, the value of the Plan’s interest will be paid out twelve months after the record keeper receives notification. In lieu of the twelve (12) month delay, the record keeper may request immediate payment of the amounts requested subject to a 5% surrender fee and (2) termination of the contract, the Plan’s contract shall be terminated on the date when both no current deposit arrangements have been made between the record keeper and Plan Sponsor and there are no Guaranteed Interest Funds with a value greater than zero. The Plan Administrator does not believe that any events which would limit the Plan’s ability to transact at contract value with participants are probable to occur.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circumstances that would allow PFG to terminate the contract and settle at a value other than the contract value.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Tax Status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has adopted the Principal 401(K) Modify Volume Submitter Plan a prototype Plan provided by the Principal Financial Group (the ''Principal''). Principal received a favorable opinion letter in which the Internal Revenue Service (“IRS”) stated that the form of such plan was in compliance with the applicable requirements of the Internal Revenue Code (“IRC”). The Plan Administrator believes that the Plan is currently designed and being operated in compliance with the applicable requirements of the IRC and that the related trust is therefore tax-exempt. Accordingly, no provision for income taxes has been included in the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IRS. The Plan Administrator has concluded that as of December 31, 2025 and December 31, 2024, there are no uncertain positions that would require recognition of a liability (or asset) or disclosure in the financial statements. The Plan is subject to routine audits by taxing jurisdictions. At December 31, 2025, the years 2022 and thereafter remained subject to examination; however, there are currently no audits for any tax periods in progress.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Risks and Uncertainties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Plan’s investments are exposed to various risks, such as interest rate, market and credit risks. Due to the level of risk associated with certain investments and the level of uncertainty related to changes in the values of investments, it is at least reasonably possible that changes in these factors in the near term could materially affect participants’ account balances and the amounts reported in the Statements of Net Assets Available for Benefits and the Statement of Changes in Net Assets Available for Benefits. Individual participants’ accounts bear the risk of loss resulting from fluctuations in investment values.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Related Party Transactions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2025 and 2024, the Plan held 119,871 and 125,770 common shares of Popular, Inc., with a quoted market value of $14,926,326 and $11,829,920, respectively. During the year ended December 31, 2025, the Plan purchased 14,898 common shares of Popular, Inc., with an acquisition price of $1,625,982 and completed sales and distributions of 20,800 shares which had a carrying value of $1,043,462, resulting in a realized gain of $1,079,049. These transactions are permitted party-in-interest transactions under provisions of ERISA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U.S.A. 401(k) Savings and Investment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the Plan Sponsor incurred in administrative expenses on behalf of the Plan amounting to $9,430.</w:t>
      </w:r>
    </w:p>
    <w:p>
      <w:pPr>
        <w:spacing w:after="0" w:line="225"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 accompanying Statements of Net Assets Available for Benefits, includes accrued dividend income of $88,451 and $83,131, related to the dividends declared on Popular Inc.’s common stock during the fourth quarter of 2025 and 2024, respectively, which were paid in January 2026 and 2025, respectively.</w:t>
      </w:r>
    </w:p>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Included in the Plan assets are notes receivable from participants. At December 31, 2025 and 2024, notes receivable from participants amounted to $2,667,790 and $2,630,314, respectively. For the years ended December 31, 2025 and 2024, interest income related to notes receivable from participants amounted to $220,248 and $196,918, respectively. These transactions qualify as party-in-interest transactions permitted under provision of ERISA.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PLIC, a member of PFG, manages the pooled separate accounts and the single annuity contract. PFG is the trustee of the Plan and, therefore, these transactions are permitted party-in-interest transactions under provisions of ERISA and the regulations promulgated thereunder.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Subsequent Events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has evaluated subsequent events through the date the financial statements were issued. Effective January 1, 2026, the Plan will add Roth Contributions and implemented changes to catch-up contributions to comply with the SECURE 2.0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Popular, Inc. U.S.A. 401(k) Savings and Investment Plan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EIN: 66-0667416</w:t>
      </w:r>
    </w:p>
    <w:p>
      <w:pPr>
        <w:spacing w:after="0"/>
        <w:rPr>
          <w:sz w:val="20"/>
          <w:szCs w:val="20"/>
          <w:color w:val="auto"/>
        </w:rPr>
      </w:pPr>
      <w:r>
        <w:rPr>
          <w:rFonts w:ascii="Times New Roman" w:cs="Times New Roman" w:eastAsia="Times New Roman" w:hAnsi="Times New Roman"/>
          <w:sz w:val="18"/>
          <w:szCs w:val="18"/>
          <w:b w:val="1"/>
          <w:bCs w:val="1"/>
          <w:color w:val="auto"/>
        </w:rPr>
        <w:t>Plan Number:053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Supplemental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w:t>
            </w:r>
          </w:p>
        </w:tc>
        <w:tc>
          <w:tcPr>
            <w:tcW w:w="40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(b) Identity of Issue, Borrower, Lessor, or Similar Party</w:t>
            </w:r>
          </w:p>
        </w:tc>
        <w:tc>
          <w:tcPr>
            <w:tcW w:w="418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(c) Description of Investment</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 Cost</w:t>
            </w: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 Current Value</w:t>
            </w:r>
          </w:p>
        </w:tc>
      </w:tr>
      <w:tr>
        <w:trPr>
          <w:trHeight w:val="37"/>
        </w:trPr>
        <w:tc>
          <w:tcPr>
            <w:tcW w:w="38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23"/>
        </w:trPr>
        <w:tc>
          <w:tcPr>
            <w:tcW w:w="380" w:type="dxa"/>
            <w:vAlign w:val="bottom"/>
            <w:shd w:val="clear" w:color="auto" w:fill="CCEEFF"/>
          </w:tcPr>
          <w:p>
            <w:pPr>
              <w:spacing w:after="0"/>
              <w:rPr>
                <w:sz w:val="19"/>
                <w:szCs w:val="19"/>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American Funds AMER BAL R6 Fund</w:t>
            </w: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Mutual Funds 49,372 shares</w:t>
            </w: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1,851,961</w:t>
            </w:r>
          </w:p>
        </w:tc>
        <w:tc>
          <w:tcPr>
            <w:tcW w:w="100" w:type="dxa"/>
            <w:vAlign w:val="bottom"/>
            <w:shd w:val="clear" w:color="auto" w:fill="CCEEFF"/>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Legg Mason BW GLBL Opps Bd IS Fund</w:t>
            </w: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Funds 45,955 shares</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409,915</w:t>
            </w:r>
          </w:p>
        </w:tc>
        <w:tc>
          <w:tcPr>
            <w:tcW w:w="100" w:type="dxa"/>
            <w:vAlign w:val="bottom"/>
          </w:tcPr>
          <w:p>
            <w:pPr>
              <w:spacing w:after="0"/>
              <w:rPr>
                <w:sz w:val="19"/>
                <w:szCs w:val="19"/>
                <w:color w:val="auto"/>
              </w:rPr>
            </w:pPr>
          </w:p>
        </w:tc>
      </w:tr>
      <w:tr>
        <w:trPr>
          <w:trHeight w:val="230"/>
        </w:trPr>
        <w:tc>
          <w:tcPr>
            <w:tcW w:w="380" w:type="dxa"/>
            <w:vAlign w:val="bottom"/>
            <w:shd w:val="clear" w:color="auto" w:fill="CCEEFF"/>
          </w:tcPr>
          <w:p>
            <w:pPr>
              <w:spacing w:after="0"/>
              <w:rPr>
                <w:sz w:val="19"/>
                <w:szCs w:val="19"/>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DODGE &amp; COX INCOME X FUND</w:t>
            </w: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Mutual Funds 312,029 shares</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4,012,688</w:t>
            </w:r>
          </w:p>
        </w:tc>
        <w:tc>
          <w:tcPr>
            <w:tcW w:w="100" w:type="dxa"/>
            <w:vAlign w:val="bottom"/>
            <w:shd w:val="clear" w:color="auto" w:fill="CCEEFF"/>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Franklin US Govt Sec R6 Fund</w:t>
            </w: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Funds 303,955 shares</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1,577,527</w:t>
            </w:r>
          </w:p>
        </w:tc>
        <w:tc>
          <w:tcPr>
            <w:tcW w:w="100" w:type="dxa"/>
            <w:vAlign w:val="bottom"/>
          </w:tcPr>
          <w:p>
            <w:pPr>
              <w:spacing w:after="0"/>
              <w:rPr>
                <w:sz w:val="19"/>
                <w:szCs w:val="19"/>
                <w:color w:val="auto"/>
              </w:rPr>
            </w:pPr>
          </w:p>
        </w:tc>
      </w:tr>
      <w:tr>
        <w:trPr>
          <w:trHeight w:val="230"/>
        </w:trPr>
        <w:tc>
          <w:tcPr>
            <w:tcW w:w="380" w:type="dxa"/>
            <w:vAlign w:val="bottom"/>
            <w:shd w:val="clear" w:color="auto" w:fill="CCEEFF"/>
          </w:tcPr>
          <w:p>
            <w:pPr>
              <w:spacing w:after="0"/>
              <w:rPr>
                <w:sz w:val="19"/>
                <w:szCs w:val="19"/>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Impax Sustain Alloc Instl Fd</w:t>
            </w: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Mutual Funds 1,383 shares</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37,108</w:t>
            </w:r>
          </w:p>
        </w:tc>
        <w:tc>
          <w:tcPr>
            <w:tcW w:w="100" w:type="dxa"/>
            <w:vAlign w:val="bottom"/>
            <w:shd w:val="clear" w:color="auto" w:fill="CCEEFF"/>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JP Morgan Mid CAP VALUE R6 Fund</w:t>
            </w: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Funds 181,458 shares</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5,784,893</w:t>
            </w:r>
          </w:p>
        </w:tc>
        <w:tc>
          <w:tcPr>
            <w:tcW w:w="100" w:type="dxa"/>
            <w:vAlign w:val="bottom"/>
          </w:tcPr>
          <w:p>
            <w:pPr>
              <w:spacing w:after="0"/>
              <w:rPr>
                <w:sz w:val="19"/>
                <w:szCs w:val="19"/>
                <w:color w:val="auto"/>
              </w:rPr>
            </w:pPr>
          </w:p>
        </w:tc>
      </w:tr>
      <w:tr>
        <w:trPr>
          <w:trHeight w:val="229"/>
        </w:trPr>
        <w:tc>
          <w:tcPr>
            <w:tcW w:w="380" w:type="dxa"/>
            <w:vAlign w:val="bottom"/>
            <w:shd w:val="clear" w:color="auto" w:fill="CCEEFF"/>
          </w:tcPr>
          <w:p>
            <w:pPr>
              <w:spacing w:after="0"/>
              <w:rPr>
                <w:sz w:val="19"/>
                <w:szCs w:val="19"/>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MassMutual Prem Smcap Opp I Fund</w:t>
            </w: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Mutual Funds 299,784 shares</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5,264,220</w:t>
            </w:r>
          </w:p>
        </w:tc>
        <w:tc>
          <w:tcPr>
            <w:tcW w:w="100" w:type="dxa"/>
            <w:vAlign w:val="bottom"/>
            <w:shd w:val="clear" w:color="auto" w:fill="CCEEFF"/>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MFS Value R6 Fund</w:t>
            </w: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Funds 154,473 shares</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7,709,773</w:t>
            </w:r>
          </w:p>
        </w:tc>
        <w:tc>
          <w:tcPr>
            <w:tcW w:w="100" w:type="dxa"/>
            <w:vAlign w:val="bottom"/>
          </w:tcPr>
          <w:p>
            <w:pPr>
              <w:spacing w:after="0"/>
              <w:rPr>
                <w:sz w:val="19"/>
                <w:szCs w:val="19"/>
                <w:color w:val="auto"/>
              </w:rPr>
            </w:pPr>
          </w:p>
        </w:tc>
      </w:tr>
      <w:tr>
        <w:trPr>
          <w:trHeight w:val="229"/>
        </w:trPr>
        <w:tc>
          <w:tcPr>
            <w:tcW w:w="380" w:type="dxa"/>
            <w:vAlign w:val="bottom"/>
            <w:shd w:val="clear" w:color="auto" w:fill="CCEEFF"/>
          </w:tcPr>
          <w:p>
            <w:pPr>
              <w:spacing w:after="0"/>
              <w:rPr>
                <w:sz w:val="19"/>
                <w:szCs w:val="19"/>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Vanguard Ext Mk Index Adm Fund</w:t>
            </w: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Mutual Funds 11,796 shares</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1,871,166</w:t>
            </w:r>
          </w:p>
        </w:tc>
        <w:tc>
          <w:tcPr>
            <w:tcW w:w="100" w:type="dxa"/>
            <w:vAlign w:val="bottom"/>
            <w:shd w:val="clear" w:color="auto" w:fill="CCEEFF"/>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Vanguard Instl Index Instl Fund</w:t>
            </w: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Funds 45,013 shares</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24,850,833</w:t>
            </w:r>
          </w:p>
        </w:tc>
        <w:tc>
          <w:tcPr>
            <w:tcW w:w="100" w:type="dxa"/>
            <w:vAlign w:val="bottom"/>
          </w:tcPr>
          <w:p>
            <w:pPr>
              <w:spacing w:after="0"/>
              <w:rPr>
                <w:sz w:val="19"/>
                <w:szCs w:val="19"/>
                <w:color w:val="auto"/>
              </w:rPr>
            </w:pPr>
          </w:p>
        </w:tc>
      </w:tr>
      <w:tr>
        <w:trPr>
          <w:trHeight w:val="230"/>
        </w:trPr>
        <w:tc>
          <w:tcPr>
            <w:tcW w:w="380" w:type="dxa"/>
            <w:vAlign w:val="bottom"/>
            <w:shd w:val="clear" w:color="auto" w:fill="CCEEFF"/>
          </w:tcPr>
          <w:p>
            <w:pPr>
              <w:spacing w:after="0"/>
              <w:rPr>
                <w:sz w:val="19"/>
                <w:szCs w:val="19"/>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Vanguard Ttl BD Mkt Idx Adm Fund</w:t>
            </w: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Mutual Funds 210,418 shares</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2,055,783</w:t>
            </w:r>
          </w:p>
        </w:tc>
        <w:tc>
          <w:tcPr>
            <w:tcW w:w="100" w:type="dxa"/>
            <w:vAlign w:val="bottom"/>
            <w:shd w:val="clear" w:color="auto" w:fill="CCEEFF"/>
          </w:tcPr>
          <w:p>
            <w:pPr>
              <w:spacing w:after="0"/>
              <w:rPr>
                <w:sz w:val="19"/>
                <w:szCs w:val="19"/>
                <w:color w:val="auto"/>
              </w:rPr>
            </w:pPr>
          </w:p>
        </w:tc>
      </w:tr>
      <w:tr>
        <w:trPr>
          <w:trHeight w:val="229"/>
        </w:trPr>
        <w:tc>
          <w:tcPr>
            <w:tcW w:w="380" w:type="dxa"/>
            <w:vAlign w:val="bottom"/>
            <w:tcBorders>
              <w:bottom w:val="single" w:sz="8" w:color="CCEEFF"/>
            </w:tcBorders>
          </w:tcPr>
          <w:p>
            <w:pPr>
              <w:spacing w:after="0"/>
              <w:rPr>
                <w:sz w:val="19"/>
                <w:szCs w:val="19"/>
                <w:color w:val="auto"/>
              </w:rPr>
            </w:pPr>
          </w:p>
        </w:tc>
        <w:tc>
          <w:tcPr>
            <w:tcW w:w="4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Vanguard Ttl Intl Stk Idx Adm Fund</w:t>
            </w:r>
          </w:p>
        </w:tc>
        <w:tc>
          <w:tcPr>
            <w:tcW w:w="4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Mutual Funds 61,458 shares</w:t>
            </w:r>
          </w:p>
        </w:tc>
        <w:tc>
          <w:tcPr>
            <w:tcW w:w="7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2,490,903</w:t>
            </w:r>
          </w:p>
        </w:tc>
        <w:tc>
          <w:tcPr>
            <w:tcW w:w="100" w:type="dxa"/>
            <w:vAlign w:val="bottom"/>
            <w:tcBorders>
              <w:bottom w:val="single" w:sz="8" w:color="CCEEFF"/>
            </w:tcBorders>
          </w:tcPr>
          <w:p>
            <w:pPr>
              <w:spacing w:after="0"/>
              <w:rPr>
                <w:sz w:val="19"/>
                <w:szCs w:val="19"/>
                <w:color w:val="auto"/>
              </w:rPr>
            </w:pPr>
          </w:p>
        </w:tc>
      </w:tr>
      <w:tr>
        <w:trPr>
          <w:trHeight w:val="223"/>
        </w:trPr>
        <w:tc>
          <w:tcPr>
            <w:tcW w:w="380" w:type="dxa"/>
            <w:vAlign w:val="bottom"/>
            <w:shd w:val="clear" w:color="auto" w:fill="CCEEFF"/>
          </w:tcPr>
          <w:p>
            <w:pPr>
              <w:spacing w:after="0"/>
              <w:rPr>
                <w:sz w:val="19"/>
                <w:szCs w:val="19"/>
                <w:color w:val="auto"/>
              </w:rPr>
            </w:pPr>
          </w:p>
        </w:tc>
        <w:tc>
          <w:tcPr>
            <w:tcW w:w="4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Mutual Funds</w:t>
            </w:r>
          </w:p>
        </w:tc>
        <w:tc>
          <w:tcPr>
            <w:tcW w:w="4180" w:type="dxa"/>
            <w:vAlign w:val="bottom"/>
            <w:shd w:val="clear" w:color="auto" w:fill="CCEEFF"/>
          </w:tcPr>
          <w:p>
            <w:pPr>
              <w:spacing w:after="0"/>
              <w:rPr>
                <w:sz w:val="19"/>
                <w:szCs w:val="19"/>
                <w:color w:val="auto"/>
              </w:rPr>
            </w:pP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57,916,770</w:t>
            </w:r>
          </w:p>
        </w:tc>
        <w:tc>
          <w:tcPr>
            <w:tcW w:w="100" w:type="dxa"/>
            <w:vAlign w:val="bottom"/>
            <w:shd w:val="clear" w:color="auto" w:fill="CCEEFF"/>
          </w:tcPr>
          <w:p>
            <w:pPr>
              <w:spacing w:after="0"/>
              <w:rPr>
                <w:sz w:val="19"/>
                <w:szCs w:val="19"/>
                <w:color w:val="auto"/>
              </w:rPr>
            </w:pPr>
          </w:p>
        </w:tc>
      </w:tr>
      <w:tr>
        <w:trPr>
          <w:trHeight w:val="22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Lifetime 2015 SEP Account</w:t>
            </w: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Pooled Separate Accounts 3,413 shares</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89,409</w:t>
            </w:r>
          </w:p>
        </w:tc>
        <w:tc>
          <w:tcPr>
            <w:tcW w:w="100" w:type="dxa"/>
            <w:vAlign w:val="bottom"/>
          </w:tcPr>
          <w:p>
            <w:pPr>
              <w:spacing w:after="0"/>
              <w:rPr>
                <w:sz w:val="19"/>
                <w:szCs w:val="19"/>
                <w:color w:val="auto"/>
              </w:rPr>
            </w:pP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Lifetime 2020 SEP Account</w:t>
            </w: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Pooled Separate Accounts 202,559 shares</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9,382,968</w:t>
            </w:r>
          </w:p>
        </w:tc>
        <w:tc>
          <w:tcPr>
            <w:tcW w:w="100" w:type="dxa"/>
            <w:vAlign w:val="bottom"/>
            <w:shd w:val="clear" w:color="auto" w:fill="CCEEFF"/>
          </w:tcPr>
          <w:p>
            <w:pPr>
              <w:spacing w:after="0"/>
              <w:rPr>
                <w:sz w:val="19"/>
                <w:szCs w:val="19"/>
                <w:color w:val="auto"/>
              </w:rPr>
            </w:pPr>
          </w:p>
        </w:tc>
      </w:tr>
      <w:tr>
        <w:trPr>
          <w:trHeight w:val="22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Lifetime 2025 SEP Account</w:t>
            </w: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Pooled Separate Accounts 70,911 shares</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2,170,301</w:t>
            </w:r>
          </w:p>
        </w:tc>
        <w:tc>
          <w:tcPr>
            <w:tcW w:w="100" w:type="dxa"/>
            <w:vAlign w:val="bottom"/>
          </w:tcPr>
          <w:p>
            <w:pPr>
              <w:spacing w:after="0"/>
              <w:rPr>
                <w:sz w:val="19"/>
                <w:szCs w:val="19"/>
                <w:color w:val="auto"/>
              </w:rPr>
            </w:pP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Lifetime 2030 SEP Account</w:t>
            </w: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Pooled Separate Accounts 308,687 shares</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16,516,469</w:t>
            </w:r>
          </w:p>
        </w:tc>
        <w:tc>
          <w:tcPr>
            <w:tcW w:w="100" w:type="dxa"/>
            <w:vAlign w:val="bottom"/>
            <w:shd w:val="clear" w:color="auto" w:fill="CCEEFF"/>
          </w:tcPr>
          <w:p>
            <w:pPr>
              <w:spacing w:after="0"/>
              <w:rPr>
                <w:sz w:val="19"/>
                <w:szCs w:val="19"/>
                <w:color w:val="auto"/>
              </w:rPr>
            </w:pPr>
          </w:p>
        </w:tc>
      </w:tr>
      <w:tr>
        <w:trPr>
          <w:trHeight w:val="22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Lifetime 2035 SEP Account</w:t>
            </w: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Pooled Separate Accounts 128,354 shares</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4,526,126</w:t>
            </w:r>
          </w:p>
        </w:tc>
        <w:tc>
          <w:tcPr>
            <w:tcW w:w="100" w:type="dxa"/>
            <w:vAlign w:val="bottom"/>
          </w:tcPr>
          <w:p>
            <w:pPr>
              <w:spacing w:after="0"/>
              <w:rPr>
                <w:sz w:val="19"/>
                <w:szCs w:val="19"/>
                <w:color w:val="auto"/>
              </w:rPr>
            </w:pP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Lifetime 2040 SEP Account</w:t>
            </w: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Pooled Separate Accounts 271,037 shares</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16,863,908</w:t>
            </w:r>
          </w:p>
        </w:tc>
        <w:tc>
          <w:tcPr>
            <w:tcW w:w="100" w:type="dxa"/>
            <w:vAlign w:val="bottom"/>
            <w:shd w:val="clear" w:color="auto" w:fill="CCEEFF"/>
          </w:tcPr>
          <w:p>
            <w:pPr>
              <w:spacing w:after="0"/>
              <w:rPr>
                <w:sz w:val="19"/>
                <w:szCs w:val="19"/>
                <w:color w:val="auto"/>
              </w:rPr>
            </w:pPr>
          </w:p>
        </w:tc>
      </w:tr>
      <w:tr>
        <w:trPr>
          <w:trHeight w:val="23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Lifetime 2045 SEP Account</w:t>
            </w: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Pooled Separate Accounts 151,729 shares</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6,017,165</w:t>
            </w:r>
          </w:p>
        </w:tc>
        <w:tc>
          <w:tcPr>
            <w:tcW w:w="100" w:type="dxa"/>
            <w:vAlign w:val="bottom"/>
          </w:tcPr>
          <w:p>
            <w:pPr>
              <w:spacing w:after="0"/>
              <w:rPr>
                <w:sz w:val="19"/>
                <w:szCs w:val="19"/>
                <w:color w:val="auto"/>
              </w:rPr>
            </w:pP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Lifetime 2050 SEP Account</w:t>
            </w: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Pooled Separate Accounts 221,397 shares</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14,524,921</w:t>
            </w:r>
          </w:p>
        </w:tc>
        <w:tc>
          <w:tcPr>
            <w:tcW w:w="100" w:type="dxa"/>
            <w:vAlign w:val="bottom"/>
            <w:shd w:val="clear" w:color="auto" w:fill="CCEEFF"/>
          </w:tcPr>
          <w:p>
            <w:pPr>
              <w:spacing w:after="0"/>
              <w:rPr>
                <w:sz w:val="19"/>
                <w:szCs w:val="19"/>
                <w:color w:val="auto"/>
              </w:rPr>
            </w:pPr>
          </w:p>
        </w:tc>
      </w:tr>
      <w:tr>
        <w:trPr>
          <w:trHeight w:val="22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Lifetime 2055 SEP Account</w:t>
            </w: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Pooled Separate Accounts 156,334 shares</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6,482,219</w:t>
            </w:r>
          </w:p>
        </w:tc>
        <w:tc>
          <w:tcPr>
            <w:tcW w:w="100" w:type="dxa"/>
            <w:vAlign w:val="bottom"/>
          </w:tcPr>
          <w:p>
            <w:pPr>
              <w:spacing w:after="0"/>
              <w:rPr>
                <w:sz w:val="19"/>
                <w:szCs w:val="19"/>
                <w:color w:val="auto"/>
              </w:rPr>
            </w:pP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Lifetime 2060 SEP Account</w:t>
            </w: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Pooled Separate Accounts 111,966 shares</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3,925,279</w:t>
            </w:r>
          </w:p>
        </w:tc>
        <w:tc>
          <w:tcPr>
            <w:tcW w:w="100" w:type="dxa"/>
            <w:vAlign w:val="bottom"/>
            <w:shd w:val="clear" w:color="auto" w:fill="CCEEFF"/>
          </w:tcPr>
          <w:p>
            <w:pPr>
              <w:spacing w:after="0"/>
              <w:rPr>
                <w:sz w:val="19"/>
                <w:szCs w:val="19"/>
                <w:color w:val="auto"/>
              </w:rPr>
            </w:pPr>
          </w:p>
        </w:tc>
      </w:tr>
      <w:tr>
        <w:trPr>
          <w:trHeight w:val="23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Lifetime 2065 SEP Account</w:t>
            </w: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Pooled Separate Accounts 43,797 shares</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919,756</w:t>
            </w:r>
          </w:p>
        </w:tc>
        <w:tc>
          <w:tcPr>
            <w:tcW w:w="100" w:type="dxa"/>
            <w:vAlign w:val="bottom"/>
          </w:tcPr>
          <w:p>
            <w:pPr>
              <w:spacing w:after="0"/>
              <w:rPr>
                <w:sz w:val="19"/>
                <w:szCs w:val="19"/>
                <w:color w:val="auto"/>
              </w:rPr>
            </w:pP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Lifetime 2070 SEP Account</w:t>
            </w: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Pooled Separate Accounts 17,568 shares</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264,787</w:t>
            </w:r>
          </w:p>
        </w:tc>
        <w:tc>
          <w:tcPr>
            <w:tcW w:w="100" w:type="dxa"/>
            <w:vAlign w:val="bottom"/>
            <w:shd w:val="clear" w:color="auto" w:fill="CCEEFF"/>
          </w:tcPr>
          <w:p>
            <w:pPr>
              <w:spacing w:after="0"/>
              <w:rPr>
                <w:sz w:val="19"/>
                <w:szCs w:val="19"/>
                <w:color w:val="auto"/>
              </w:rPr>
            </w:pPr>
          </w:p>
        </w:tc>
      </w:tr>
      <w:tr>
        <w:trPr>
          <w:trHeight w:val="22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Lifetime STR INC SEP Account</w:t>
            </w: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Pooled Separate Accounts 49,359 shares</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1,617,339</w:t>
            </w:r>
          </w:p>
        </w:tc>
        <w:tc>
          <w:tcPr>
            <w:tcW w:w="100" w:type="dxa"/>
            <w:vAlign w:val="bottom"/>
          </w:tcPr>
          <w:p>
            <w:pPr>
              <w:spacing w:after="0"/>
              <w:rPr>
                <w:sz w:val="19"/>
                <w:szCs w:val="19"/>
                <w:color w:val="auto"/>
              </w:rPr>
            </w:pP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Diversified International SEP Account</w:t>
            </w: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Pooled Separate Accounts 31,125 shares</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5,404,445</w:t>
            </w:r>
          </w:p>
        </w:tc>
        <w:tc>
          <w:tcPr>
            <w:tcW w:w="100" w:type="dxa"/>
            <w:vAlign w:val="bottom"/>
            <w:shd w:val="clear" w:color="auto" w:fill="CCEEFF"/>
          </w:tcPr>
          <w:p>
            <w:pPr>
              <w:spacing w:after="0"/>
              <w:rPr>
                <w:sz w:val="19"/>
                <w:szCs w:val="19"/>
                <w:color w:val="auto"/>
              </w:rPr>
            </w:pPr>
          </w:p>
        </w:tc>
      </w:tr>
      <w:tr>
        <w:trPr>
          <w:trHeight w:val="230"/>
        </w:trPr>
        <w:tc>
          <w:tcPr>
            <w:tcW w:w="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Principal US Property SEP Account</w:t>
            </w:r>
          </w:p>
        </w:tc>
        <w:tc>
          <w:tcPr>
            <w:tcW w:w="4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Pooled Separate Accounts 5,592 shares</w:t>
            </w:r>
          </w:p>
        </w:tc>
        <w:tc>
          <w:tcPr>
            <w:tcW w:w="7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933,211</w:t>
            </w:r>
          </w:p>
        </w:tc>
        <w:tc>
          <w:tcPr>
            <w:tcW w:w="100" w:type="dxa"/>
            <w:vAlign w:val="bottom"/>
            <w:tcBorders>
              <w:bottom w:val="single" w:sz="8" w:color="CCEEFF"/>
            </w:tcBorders>
          </w:tcPr>
          <w:p>
            <w:pPr>
              <w:spacing w:after="0"/>
              <w:rPr>
                <w:sz w:val="19"/>
                <w:szCs w:val="19"/>
                <w:color w:val="auto"/>
              </w:rPr>
            </w:pPr>
          </w:p>
        </w:tc>
      </w:tr>
      <w:tr>
        <w:trPr>
          <w:trHeight w:val="223"/>
        </w:trPr>
        <w:tc>
          <w:tcPr>
            <w:tcW w:w="380" w:type="dxa"/>
            <w:vAlign w:val="bottom"/>
            <w:shd w:val="clear" w:color="auto" w:fill="CCEEFF"/>
          </w:tcPr>
          <w:p>
            <w:pPr>
              <w:spacing w:after="0"/>
              <w:rPr>
                <w:sz w:val="19"/>
                <w:szCs w:val="19"/>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Pooled Separate Account</w:t>
            </w:r>
          </w:p>
        </w:tc>
        <w:tc>
          <w:tcPr>
            <w:tcW w:w="4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89,638,303</w:t>
            </w:r>
          </w:p>
        </w:tc>
        <w:tc>
          <w:tcPr>
            <w:tcW w:w="100" w:type="dxa"/>
            <w:vAlign w:val="bottom"/>
            <w:shd w:val="clear" w:color="auto" w:fill="CCEEFF"/>
          </w:tcPr>
          <w:p>
            <w:pPr>
              <w:spacing w:after="0"/>
              <w:rPr>
                <w:sz w:val="19"/>
                <w:szCs w:val="19"/>
                <w:color w:val="auto"/>
              </w:rPr>
            </w:pPr>
          </w:p>
        </w:tc>
      </w:tr>
      <w:tr>
        <w:trPr>
          <w:trHeight w:val="223"/>
        </w:trPr>
        <w:tc>
          <w:tcPr>
            <w:tcW w:w="380" w:type="dxa"/>
            <w:vAlign w:val="bottom"/>
            <w:tcBorders>
              <w:bottom w:val="single" w:sz="8" w:color="CCEEFF"/>
            </w:tcBorders>
          </w:tcPr>
          <w:p>
            <w:pPr>
              <w:spacing w:after="0"/>
              <w:rPr>
                <w:sz w:val="19"/>
                <w:szCs w:val="19"/>
                <w:color w:val="auto"/>
              </w:rPr>
            </w:pPr>
          </w:p>
        </w:tc>
        <w:tc>
          <w:tcPr>
            <w:tcW w:w="4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Pioneer LG CP GR PORT CL R1</w:t>
            </w:r>
          </w:p>
        </w:tc>
        <w:tc>
          <w:tcPr>
            <w:tcW w:w="4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Collective Trust 230,967 shares</w:t>
            </w:r>
          </w:p>
        </w:tc>
        <w:tc>
          <w:tcPr>
            <w:tcW w:w="7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9,129,628</w:t>
            </w:r>
          </w:p>
        </w:tc>
        <w:tc>
          <w:tcPr>
            <w:tcW w:w="100" w:type="dxa"/>
            <w:vAlign w:val="bottom"/>
            <w:tcBorders>
              <w:bottom w:val="single" w:sz="8" w:color="CCEEFF"/>
            </w:tcBorders>
          </w:tcPr>
          <w:p>
            <w:pPr>
              <w:spacing w:after="0"/>
              <w:rPr>
                <w:sz w:val="19"/>
                <w:szCs w:val="19"/>
                <w:color w:val="auto"/>
              </w:rPr>
            </w:pPr>
          </w:p>
        </w:tc>
      </w:tr>
      <w:tr>
        <w:trPr>
          <w:trHeight w:val="223"/>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Fixed Income Guaranteed Option***</w:t>
            </w: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Single Group Annuity Contract</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13,863,917</w:t>
            </w:r>
          </w:p>
        </w:tc>
        <w:tc>
          <w:tcPr>
            <w:tcW w:w="100" w:type="dxa"/>
            <w:vAlign w:val="bottom"/>
            <w:shd w:val="clear" w:color="auto" w:fill="CCEEFF"/>
          </w:tcPr>
          <w:p>
            <w:pPr>
              <w:spacing w:after="0"/>
              <w:rPr>
                <w:sz w:val="19"/>
                <w:szCs w:val="19"/>
                <w:color w:val="auto"/>
              </w:rPr>
            </w:pPr>
          </w:p>
        </w:tc>
      </w:tr>
      <w:tr>
        <w:trPr>
          <w:trHeight w:val="223"/>
        </w:trPr>
        <w:tc>
          <w:tcPr>
            <w:tcW w:w="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Popular, Inc. Common Stock</w:t>
            </w:r>
          </w:p>
        </w:tc>
        <w:tc>
          <w:tcPr>
            <w:tcW w:w="4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Common Stock 119,871 shares</w:t>
            </w:r>
          </w:p>
        </w:tc>
        <w:tc>
          <w:tcPr>
            <w:tcW w:w="7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14,926,326</w:t>
            </w:r>
          </w:p>
        </w:tc>
        <w:tc>
          <w:tcPr>
            <w:tcW w:w="100" w:type="dxa"/>
            <w:vAlign w:val="bottom"/>
            <w:tcBorders>
              <w:bottom w:val="single" w:sz="8" w:color="CCEEFF"/>
            </w:tcBorders>
          </w:tcPr>
          <w:p>
            <w:pPr>
              <w:spacing w:after="0"/>
              <w:rPr>
                <w:sz w:val="19"/>
                <w:szCs w:val="19"/>
                <w:color w:val="auto"/>
              </w:rPr>
            </w:pPr>
          </w:p>
        </w:tc>
      </w:tr>
      <w:tr>
        <w:trPr>
          <w:trHeight w:val="155"/>
        </w:trPr>
        <w:tc>
          <w:tcPr>
            <w:tcW w:w="380" w:type="dxa"/>
            <w:vAlign w:val="bottom"/>
            <w:shd w:val="clear" w:color="auto" w:fill="CCEEFF"/>
          </w:tcPr>
          <w:p>
            <w:pPr>
              <w:spacing w:after="0"/>
              <w:rPr>
                <w:sz w:val="13"/>
                <w:szCs w:val="13"/>
                <w:color w:val="auto"/>
              </w:rPr>
            </w:pPr>
          </w:p>
        </w:tc>
        <w:tc>
          <w:tcPr>
            <w:tcW w:w="4000" w:type="dxa"/>
            <w:vAlign w:val="bottom"/>
            <w:shd w:val="clear" w:color="auto" w:fill="CCEEFF"/>
          </w:tcPr>
          <w:p>
            <w:pPr>
              <w:spacing w:after="0"/>
              <w:rPr>
                <w:sz w:val="13"/>
                <w:szCs w:val="13"/>
                <w:color w:val="auto"/>
              </w:rPr>
            </w:pPr>
          </w:p>
        </w:tc>
        <w:tc>
          <w:tcPr>
            <w:tcW w:w="4180" w:type="dxa"/>
            <w:vAlign w:val="bottom"/>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color w:val="auto"/>
              </w:rPr>
              <w:t>Participant loans with maturities ranging from 2025 to</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43"/>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Participant loans</w:t>
            </w: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2054 and interest ranging from 4.25% to 9.50%</w:t>
            </w:r>
          </w:p>
        </w:tc>
        <w:tc>
          <w:tcPr>
            <w:tcW w:w="7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2,667,790</w:t>
            </w:r>
          </w:p>
        </w:tc>
        <w:tc>
          <w:tcPr>
            <w:tcW w:w="100" w:type="dxa"/>
            <w:vAlign w:val="bottom"/>
            <w:shd w:val="clear" w:color="auto" w:fill="CCEEFF"/>
          </w:tcPr>
          <w:p>
            <w:pPr>
              <w:spacing w:after="0"/>
              <w:rPr>
                <w:sz w:val="21"/>
                <w:szCs w:val="21"/>
                <w:color w:val="auto"/>
              </w:rPr>
            </w:pPr>
          </w:p>
        </w:tc>
      </w:tr>
      <w:tr>
        <w:trPr>
          <w:trHeight w:val="223"/>
        </w:trPr>
        <w:tc>
          <w:tcPr>
            <w:tcW w:w="3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188,142,734</w:t>
            </w: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ind w:left="640" w:hanging="61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in-interest</w:t>
      </w:r>
    </w:p>
    <w:p>
      <w:pPr>
        <w:spacing w:after="0" w:line="27" w:lineRule="exact"/>
        <w:rPr>
          <w:sz w:val="20"/>
          <w:szCs w:val="20"/>
          <w:color w:val="auto"/>
        </w:rPr>
      </w:pPr>
    </w:p>
    <w:p>
      <w:pPr>
        <w:ind w:left="640" w:hanging="61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is not required to be presented for participant directed investments</w:t>
      </w:r>
    </w:p>
    <w:p>
      <w:pPr>
        <w:spacing w:after="0" w:line="9" w:lineRule="exact"/>
        <w:rPr>
          <w:rFonts w:ascii="Times New Roman" w:cs="Times New Roman" w:eastAsia="Times New Roman" w:hAnsi="Times New Roman"/>
          <w:sz w:val="18"/>
          <w:szCs w:val="18"/>
          <w:color w:val="auto"/>
        </w:rPr>
      </w:pPr>
    </w:p>
    <w:p>
      <w:pPr>
        <w:ind w:left="640" w:hanging="61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Fixed Income Guaranteed Option fund is presented at contract value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 of the Securities Exchange Act of 1934, the persons who administer the employee benefit plan have duly caused this annual report to be signed on its behalf by the undersigned hereunto duly authorized.</w:t>
      </w:r>
    </w:p>
    <w:p>
      <w:pPr>
        <w:spacing w:after="0" w:line="212"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POPULAR, INC. U.S.A. 401 (K) SAVINGS AND</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INVESTMENT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22860</wp:posOffset>
            </wp:positionV>
            <wp:extent cx="372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25"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(Registrant)</w:t>
      </w:r>
    </w:p>
    <w:p>
      <w:pPr>
        <w:spacing w:after="0" w:line="293"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June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Eduardo J. Negrón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17145</wp:posOffset>
            </wp:positionV>
            <wp:extent cx="34290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Eduardo J. Negrón</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Chairperson</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Popular, Inc. Benefits Committee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(Plan Administrator)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320" w:top="117" w:right="61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333-229711) of Popular, Inc. of our report dated</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June 26, 2026 relating to the financial statements and supplemental schedule of the Popular, Inc. U.S.A. 401(k) Savings and Investment Plan which appears in this Form 11-K.</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629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Juan, Puerto Rico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2026-06-26T18:54:16Z</dcterms:created>
  <dcterms:modified xsi:type="dcterms:W3CDTF">2026-06-26T18:54:16Z</dcterms:modified>
</cp:coreProperties>
</file>