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Ferre Maria Luisa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11924</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00922-1924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772"/>
        <w:gridCol w:w="427"/>
        <w:gridCol w:w="595"/>
        <w:gridCol w:w="1415"/>
        <w:gridCol w:w="978"/>
        <w:gridCol w:w="130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7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34,575.651</w:t>
            </w:r>
            <w:r>
              <w:rPr>
                <w:rFonts w:ascii="Times;serif" w:hAnsi="Times;serif"/>
                <w:color w:val="008000"/>
                <w:position w:val="7"/>
                <w:sz w:val="16"/>
                <w:sz w:val="20"/>
                <w:shd w:fill="FFFFFF" w:val="clear"/>
              </w:rPr>
              <w:t>(1)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10,156</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Luis A. Ferre Foundation, Inc.</w:t>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(4)</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17,599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174.689 shares acquired pursuant to reinvestment of dividends paid by the Corporation. The shares were acquired in transactions exempt from Section 16 of the Securities Exchange Act of 1934 pursuant to Rule 16a-11 thereunder.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Ms. Ferre is the President and a Trustee of the Luis A Ferre Foundation,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Restricted Stock Units ("RSUs") received by the reporting person as a result of dividend equivalents accrued with respect to outstanding RSUs granted to the reporting person. Dividend equivalents are accrued at the same rate and at the same time as dividends are paid to ordinary shareholders. Dividend equivalents on RSUs are subject to the same terms and conditions as the underlying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Restricted stock units are converted into an equivalent number of shares of common stock and issued to the reporting person on the 15th of August following the date of termination of service as a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9698"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757</Words>
  <Characters>4057</Characters>
  <CharactersWithSpaces>4733</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