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51390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139055"/>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BALLESTER ALEJANDRO M</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P.O. BOX 364548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POPULAR,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BPOP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04/30/2026</w:t>
      </w:r>
    </w:p>
    <w:p>
      <w:pPr>
        <w:spacing w:after="0" w:line="20" w:lineRule="exact"/>
        <w:rPr>
          <w:sz w:val="24"/>
          <w:szCs w:val="24"/>
          <w:color w:val="auto"/>
        </w:rPr>
      </w:pPr>
      <w:r>
        <w:rPr>
          <w:sz w:val="24"/>
          <w:szCs w:val="24"/>
          <w:color w:val="auto"/>
        </w:rPr>
        <w:br w:type="column"/>
      </w:r>
    </w:p>
    <w:p>
      <w:pPr>
        <w:ind w:left="-4" w:right="600" w:firstLine="4"/>
        <w:spacing w:after="0" w:line="266"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23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JUAN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PR</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00936-4548</w:t>
            </w:r>
          </w:p>
        </w:tc>
      </w:tr>
      <w:tr>
        <w:trPr>
          <w:trHeight w:val="152"/>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8"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80" w:type="dxa"/>
            <w:vAlign w:val="bottom"/>
          </w:tcPr>
          <w:p>
            <w:pPr>
              <w:spacing w:after="0"/>
              <w:rPr>
                <w:sz w:val="13"/>
                <w:szCs w:val="13"/>
                <w:color w:val="auto"/>
              </w:rPr>
            </w:pPr>
          </w:p>
        </w:tc>
        <w:tc>
          <w:tcPr>
            <w:tcW w:w="124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4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60" w:type="dxa"/>
            <w:vAlign w:val="bottom"/>
            <w:tcBorders>
              <w:bottom w:val="single" w:sz="8" w:color="2C2C2C"/>
            </w:tcBorders>
            <w:gridSpan w:val="4"/>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240" w:type="dxa"/>
            <w:vAlign w:val="bottom"/>
            <w:tcBorders>
              <w:bottom w:val="single" w:sz="8" w:color="2C2C2C"/>
            </w:tcBorders>
            <w:gridSpan w:val="2"/>
          </w:tcPr>
          <w:p>
            <w:pPr>
              <w:jc w:val="right"/>
              <w:ind w:right="141"/>
              <w:spacing w:after="0"/>
              <w:rPr>
                <w:sz w:val="20"/>
                <w:szCs w:val="20"/>
                <w:color w:val="auto"/>
              </w:rPr>
            </w:pPr>
            <w:r>
              <w:rPr>
                <w:rFonts w:ascii="Times New Roman" w:cs="Times New Roman" w:eastAsia="Times New Roman" w:hAnsi="Times New Roman"/>
                <w:sz w:val="17"/>
                <w:szCs w:val="17"/>
                <w:color w:val="0000FF"/>
              </w:rPr>
              <w:t>04/30/2026</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23,000</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150</w:t>
            </w:r>
          </w:p>
        </w:tc>
        <w:tc>
          <w:tcPr>
            <w:tcW w:w="1340" w:type="dxa"/>
            <w:vAlign w:val="bottom"/>
            <w:tcBorders>
              <w:bottom w:val="single" w:sz="8" w:color="2C2C2C"/>
            </w:tcBorders>
            <w:gridSpan w:val="3"/>
          </w:tcPr>
          <w:p>
            <w:pPr>
              <w:ind w:left="260"/>
              <w:spacing w:after="0"/>
              <w:rPr>
                <w:sz w:val="20"/>
                <w:szCs w:val="20"/>
                <w:color w:val="auto"/>
              </w:rPr>
            </w:pPr>
            <w:r>
              <w:rPr>
                <w:rFonts w:ascii="Times New Roman" w:cs="Times New Roman" w:eastAsia="Times New Roman" w:hAnsi="Times New Roman"/>
                <w:sz w:val="17"/>
                <w:szCs w:val="17"/>
                <w:color w:val="0000FF"/>
              </w:rPr>
              <w:t>34,587.716</w:t>
            </w:r>
            <w:r>
              <w:rPr>
                <w:rFonts w:ascii="Times New Roman" w:cs="Times New Roman" w:eastAsia="Times New Roman" w:hAnsi="Times New Roman"/>
                <w:sz w:val="21"/>
                <w:szCs w:val="21"/>
                <w:color w:val="008000"/>
                <w:vertAlign w:val="superscript"/>
              </w:rPr>
              <w:t>(1)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6"/>
          </w:tcPr>
          <w:p>
            <w:pPr>
              <w:jc w:val="center"/>
              <w:ind w:left="83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900" w:type="dxa"/>
            <w:vAlign w:val="bottom"/>
            <w:gridSpan w:val="12"/>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6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134"/>
              <w:spacing w:after="0" w:line="144"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5"/>
                <w:szCs w:val="5"/>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120" w:type="dxa"/>
            <w:vAlign w:val="bottom"/>
          </w:tcPr>
          <w:p>
            <w:pPr>
              <w:spacing w:after="0"/>
              <w:rPr>
                <w:sz w:val="5"/>
                <w:szCs w:val="5"/>
                <w:color w:val="auto"/>
              </w:rPr>
            </w:pPr>
          </w:p>
        </w:tc>
        <w:tc>
          <w:tcPr>
            <w:tcW w:w="560" w:type="dxa"/>
            <w:vAlign w:val="bottom"/>
            <w:vMerge w:val="restart"/>
          </w:tcPr>
          <w:p>
            <w:pPr>
              <w:jc w:val="center"/>
              <w:ind w:right="134"/>
              <w:spacing w:after="0" w:line="144" w:lineRule="exact"/>
              <w:rPr>
                <w:sz w:val="20"/>
                <w:szCs w:val="20"/>
                <w:color w:val="auto"/>
              </w:rPr>
            </w:pPr>
            <w:r>
              <w:rPr>
                <w:rFonts w:ascii="Times New Roman" w:cs="Times New Roman" w:eastAsia="Times New Roman" w:hAnsi="Times New Roman"/>
                <w:sz w:val="13"/>
                <w:szCs w:val="13"/>
                <w:color w:val="0000FF"/>
                <w:w w:val="92"/>
              </w:rPr>
              <w:t>Par</w:t>
            </w:r>
          </w:p>
        </w:tc>
        <w:tc>
          <w:tcPr>
            <w:tcW w:w="5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0</w:t>
            </w: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vMerge w:val="restart"/>
          </w:tcPr>
          <w:p>
            <w:pPr>
              <w:ind w:left="240"/>
              <w:spacing w:after="0" w:line="144" w:lineRule="exact"/>
              <w:rPr>
                <w:sz w:val="20"/>
                <w:szCs w:val="20"/>
                <w:color w:val="auto"/>
              </w:rPr>
            </w:pPr>
            <w:r>
              <w:rPr>
                <w:rFonts w:ascii="Times New Roman" w:cs="Times New Roman" w:eastAsia="Times New Roman" w:hAnsi="Times New Roman"/>
                <w:sz w:val="13"/>
                <w:szCs w:val="13"/>
                <w:color w:val="0000FF"/>
              </w:rPr>
              <w:t>15,915</w:t>
            </w:r>
          </w:p>
        </w:tc>
        <w:tc>
          <w:tcPr>
            <w:tcW w:w="260" w:type="dxa"/>
            <w:vAlign w:val="bottom"/>
          </w:tcPr>
          <w:p>
            <w:pPr>
              <w:spacing w:after="0"/>
              <w:rPr>
                <w:sz w:val="6"/>
                <w:szCs w:val="6"/>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restart"/>
          </w:tcPr>
          <w:p>
            <w:pPr>
              <w:jc w:val="center"/>
              <w:ind w:right="134"/>
              <w:spacing w:after="0" w:line="144" w:lineRule="exact"/>
              <w:rPr>
                <w:sz w:val="20"/>
                <w:szCs w:val="20"/>
                <w:color w:val="auto"/>
              </w:rPr>
            </w:pPr>
            <w:r>
              <w:rPr>
                <w:rFonts w:ascii="Times New Roman" w:cs="Times New Roman" w:eastAsia="Times New Roman" w:hAnsi="Times New Roman"/>
                <w:sz w:val="13"/>
                <w:szCs w:val="13"/>
                <w:color w:val="0000FF"/>
                <w:w w:val="90"/>
              </w:rPr>
              <w:t>Value</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$0.01 per</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6900"/>
        <w:spacing w:after="0"/>
        <w:rPr>
          <w:sz w:val="20"/>
          <w:szCs w:val="20"/>
          <w:color w:val="auto"/>
        </w:rPr>
      </w:pPr>
      <w:r>
        <w:rPr>
          <w:rFonts w:ascii="Times New Roman" w:cs="Times New Roman" w:eastAsia="Times New Roman" w:hAnsi="Times New Roman"/>
          <w:sz w:val="13"/>
          <w:szCs w:val="13"/>
          <w:color w:val="0000FF"/>
        </w:rPr>
        <w:t>share</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no longer has a reportable beneficial interest in 365.678 shares of the Corporation's common stock owned by his son and included in the reporting person's prior ownership reports.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40" w:right="56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are converted into an equivalent number of shares of common stock and issued to the reporting person in equal annual installments on each 15th of August of the first five years following the date of termination of service as a director.</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Marie Reyes-Rodriguez,</w:t>
            </w: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05/01/2026</w:t>
            </w:r>
          </w:p>
        </w:tc>
        <w:tc>
          <w:tcPr>
            <w:tcW w:w="0" w:type="dxa"/>
            <w:vAlign w:val="bottom"/>
          </w:tcPr>
          <w:p>
            <w:pPr>
              <w:spacing w:after="0"/>
              <w:rPr>
                <w:sz w:val="1"/>
                <w:szCs w:val="1"/>
                <w:color w:val="auto"/>
              </w:rPr>
            </w:pPr>
          </w:p>
        </w:tc>
      </w:tr>
      <w:tr>
        <w:trPr>
          <w:trHeight w:val="84"/>
        </w:trPr>
        <w:tc>
          <w:tcPr>
            <w:tcW w:w="1660" w:type="dxa"/>
            <w:vAlign w:val="bottom"/>
            <w:tcBorders>
              <w:top w:val="single" w:sz="8" w:color="auto"/>
            </w:tcBorders>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Attorney-in-act</w:t>
            </w:r>
          </w:p>
        </w:tc>
        <w:tc>
          <w:tcPr>
            <w:tcW w:w="38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660" w:type="dxa"/>
            <w:vAlign w:val="bottom"/>
            <w:tcBorders>
              <w:top w:val="single" w:sz="8" w:color="auto"/>
            </w:tcBorders>
            <w:gridSpan w:val="2"/>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82780" TargetMode="External"/><Relationship Id="rId14" Type="http://schemas.openxmlformats.org/officeDocument/2006/relationships/hyperlink" Target="http://www.sec.gov/cgi-bin/browse-edgar?action=getcompany&amp;CIK=00007639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2026-05-01T10:03:12Z</dcterms:created>
  <dcterms:modified xsi:type="dcterms:W3CDTF">2026-05-01T10:03:12Z</dcterms:modified>
</cp:coreProperties>
</file>