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GOODWIN C KIM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04"/>
        <w:gridCol w:w="454"/>
        <w:gridCol w:w="617"/>
        <w:gridCol w:w="1408"/>
        <w:gridCol w:w="998"/>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44,447.154</w:t>
            </w:r>
            <w:r>
              <w:rPr>
                <w:rFonts w:ascii="Times;serif" w:hAnsi="Times;serif"/>
                <w:color w:val="008000"/>
                <w:position w:val="7"/>
                <w:sz w:val="16"/>
                <w:sz w:val="20"/>
                <w:shd w:fill="FFFFFF" w:val="clear"/>
              </w:rPr>
              <w:t>(1)</w:t>
            </w:r>
            <w:r>
              <w:rPr/>
              <w:t xml:space="preserve"> </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178.787 shares acquired pursuant to reinvestment of dividends paid by the Corporation. The shares were acquired in transactions exempt from Section 16 of the Securities Exchange Act of 1934 pursuant to Rule 16a-11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units are converted into an equivalent number of shares of common stock and issued to the reporting person on the 15th of August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8731"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724</Words>
  <Characters>3894</Characters>
  <CharactersWithSpaces>4553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