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Adorno Denissa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Senior VP &amp; Comptroller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JUAN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PR</w:t>
            </w:r>
          </w:p>
        </w:tc>
        <w:tc>
          <w:tcPr>
            <w:tcW w:w="8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00936-2708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7"/>
                <w:szCs w:val="17"/>
                <w:color w:val="0000FF"/>
              </w:rPr>
              <w:t>04/27/2026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150.62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3,037.061</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0"/>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16.594 shares acquired pursuant to reinvestment of dividends paid by the Corporation. The shares were acquired in transactions exempt from Section 16 of the Securities Exchange Act of 1934 pursuant to Rule 16a-11 thereunder.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04/28/2026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Attorney-in-act</w:t>
            </w:r>
          </w:p>
        </w:tc>
        <w:tc>
          <w:tcPr>
            <w:tcW w:w="10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503"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2026-04-28T12:37:47Z</dcterms:created>
  <dcterms:modified xsi:type="dcterms:W3CDTF">2026-04-28T12:37:47Z</dcterms:modified>
</cp:coreProperties>
</file>