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CARRION RICHARD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37"/>
        <w:gridCol w:w="804"/>
        <w:gridCol w:w="622"/>
        <w:gridCol w:w="352"/>
        <w:gridCol w:w="795"/>
        <w:gridCol w:w="443"/>
        <w:gridCol w:w="613"/>
        <w:gridCol w:w="1160"/>
        <w:gridCol w:w="1001"/>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193,020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75,031</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Junior Investment Corporation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Mr. Carrion's indirect ownership in the shares of Popular, Inc. owned by Junior Investment Corporation in which he has approximately 23.3234%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725"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3921</Characters>
  <CharactersWithSpaces>4568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