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GOODWIN C KIM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04"/>
        <w:gridCol w:w="454"/>
        <w:gridCol w:w="617"/>
        <w:gridCol w:w="1408"/>
        <w:gridCol w:w="998"/>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44,672.864</w:t>
            </w:r>
            <w:r>
              <w:rPr>
                <w:rFonts w:ascii="Times;serif" w:hAnsi="Times;serif"/>
                <w:color w:val="008000"/>
                <w:position w:val="7"/>
                <w:sz w:val="16"/>
                <w:sz w:val="20"/>
                <w:shd w:fill="FFFFFF" w:val="clear"/>
              </w:rPr>
              <w:t>(1)</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225.710 shares acquired pursuant to reinvestment of dividends paid by the Corporation. The shares were acquired in transactions exempt from Section 16 of the Securities Exchange Act of 1934 pursuant to Rule 16a-11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units are converted into an equivalent number of shares of common stock and issued to the reporting person on the 15th of August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8731"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3916</Characters>
  <CharactersWithSpaces>4567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