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7045960" cy="51390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5139055"/>
                    </a:xfrm>
                    <a:prstGeom prst="rect">
                      <a:avLst/>
                    </a:prstGeom>
                    <a:noFill/>
                  </pic:spPr>
                </pic:pic>
              </a:graphicData>
            </a:graphic>
          </wp:anchor>
        </w:drawing>
      </w:r>
    </w:p>
    <w:p>
      <w:pPr>
        <w:spacing w:after="0" w:line="1260" w:lineRule="exact"/>
        <w:rPr>
          <w:sz w:val="24"/>
          <w:szCs w:val="24"/>
          <w:color w:val="auto"/>
        </w:rPr>
      </w:pPr>
    </w:p>
    <w:p>
      <w:pPr>
        <w:sectPr>
          <w:pgSz w:w="11900" w:h="16838" w:orient="portrait"/>
          <w:cols w:equalWidth="0" w:num="2">
            <w:col w:w="2320" w:space="220"/>
            <w:col w:w="854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GOODWIN C KIM</w:t>
        </w:r>
      </w:hyperlink>
    </w:p>
    <w:p>
      <w:pPr>
        <w:spacing w:after="0" w:line="296"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P O BOX 362708</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POPULAR,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BPOP</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5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05/08/2026</w:t>
      </w:r>
    </w:p>
    <w:p>
      <w:pPr>
        <w:spacing w:after="0" w:line="20" w:lineRule="exact"/>
        <w:rPr>
          <w:sz w:val="24"/>
          <w:szCs w:val="24"/>
          <w:color w:val="auto"/>
        </w:rPr>
      </w:pPr>
      <w:r>
        <w:rPr>
          <w:sz w:val="24"/>
          <w:szCs w:val="24"/>
          <w:color w:val="auto"/>
        </w:rPr>
        <w:br w:type="column"/>
      </w:r>
    </w:p>
    <w:p>
      <w:pPr>
        <w:ind w:left="-4" w:right="600" w:firstLine="4"/>
        <w:spacing w:after="0" w:line="266"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0" w:lineRule="exact"/>
        <w:rPr>
          <w:sz w:val="24"/>
          <w:szCs w:val="24"/>
          <w:color w:val="auto"/>
        </w:rPr>
      </w:pPr>
    </w:p>
    <w:p>
      <w:pPr>
        <w:ind w:left="516"/>
        <w:spacing w:after="0"/>
        <w:tabs>
          <w:tab w:leader="none" w:pos="205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2"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6" w:lineRule="exact"/>
        <w:rPr>
          <w:sz w:val="24"/>
          <w:szCs w:val="24"/>
          <w:color w:val="auto"/>
        </w:rPr>
      </w:pPr>
    </w:p>
    <w:p>
      <w:pPr>
        <w:ind w:left="516"/>
        <w:spacing w:after="0"/>
        <w:tabs>
          <w:tab w:leader="none" w:pos="205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11" w:lineRule="exact"/>
        <w:rPr>
          <w:sz w:val="24"/>
          <w:szCs w:val="24"/>
          <w:color w:val="auto"/>
        </w:rPr>
      </w:pPr>
    </w:p>
    <w:p>
      <w:pPr>
        <w:sectPr>
          <w:pgSz w:w="11900" w:h="16838" w:orient="portrait"/>
          <w:cols w:equalWidth="0" w:num="3">
            <w:col w:w="3200" w:space="720"/>
            <w:col w:w="3104" w:space="720"/>
            <w:col w:w="3336"/>
          </w:cols>
          <w:pgMar w:left="460" w:top="216" w:right="359" w:bottom="1440" w:gutter="0" w:footer="0" w:header="0"/>
          <w:type w:val="continuous"/>
        </w:sectPr>
      </w:pPr>
    </w:p>
    <w:p>
      <w:pPr>
        <w:spacing w:after="0" w:line="235"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JUAN</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PR</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00936-2708</w:t>
            </w:r>
          </w:p>
        </w:tc>
      </w:tr>
      <w:tr>
        <w:trPr>
          <w:trHeight w:val="152"/>
        </w:trPr>
        <w:tc>
          <w:tcPr>
            <w:tcW w:w="2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3"/>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6"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98" w:lineRule="exact"/>
        <w:rPr>
          <w:sz w:val="24"/>
          <w:szCs w:val="24"/>
          <w:color w:val="auto"/>
        </w:rPr>
      </w:pPr>
    </w:p>
    <w:p>
      <w:pPr>
        <w:sectPr>
          <w:pgSz w:w="11900" w:h="16838" w:orient="portrait"/>
          <w:cols w:equalWidth="0" w:num="2">
            <w:col w:w="3760" w:space="160"/>
            <w:col w:w="716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680"/>
              <w:spacing w:after="0" w:line="130"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20" w:type="dxa"/>
            <w:vAlign w:val="bottom"/>
            <w:gridSpan w:val="2"/>
          </w:tcPr>
          <w:p>
            <w:pPr>
              <w:ind w:left="68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2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68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368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6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6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20" w:type="dxa"/>
            <w:vAlign w:val="bottom"/>
            <w:gridSpan w:val="3"/>
          </w:tcPr>
          <w:p>
            <w:pPr>
              <w:ind w:left="320"/>
              <w:spacing w:after="0"/>
              <w:rPr>
                <w:sz w:val="20"/>
                <w:szCs w:val="20"/>
                <w:color w:val="auto"/>
              </w:rPr>
            </w:pPr>
            <w:r>
              <w:rPr>
                <w:rFonts w:ascii="Times New Roman" w:cs="Times New Roman" w:eastAsia="Times New Roman" w:hAnsi="Times New Roman"/>
                <w:sz w:val="17"/>
                <w:szCs w:val="17"/>
                <w:color w:val="0000FF"/>
              </w:rPr>
              <w:t>44,268.367</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20" w:type="dxa"/>
            <w:vAlign w:val="bottom"/>
            <w:tcBorders>
              <w:bottom w:val="single" w:sz="8" w:color="2C2C2C"/>
            </w:tcBorders>
            <w:gridSpan w:val="6"/>
          </w:tcPr>
          <w:p>
            <w:pPr>
              <w:spacing w:after="0"/>
              <w:rPr>
                <w:sz w:val="8"/>
                <w:szCs w:val="8"/>
                <w:color w:val="auto"/>
              </w:rPr>
            </w:pPr>
          </w:p>
        </w:tc>
        <w:tc>
          <w:tcPr>
            <w:tcW w:w="2520" w:type="dxa"/>
            <w:vAlign w:val="bottom"/>
            <w:tcBorders>
              <w:bottom w:val="single" w:sz="8" w:color="2C2C2C"/>
            </w:tcBorders>
            <w:gridSpan w:val="5"/>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380" w:type="dxa"/>
            <w:vAlign w:val="bottom"/>
            <w:gridSpan w:val="11"/>
          </w:tcPr>
          <w:p>
            <w:pPr>
              <w:ind w:left="6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4"/>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0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jc w:val="center"/>
              <w:ind w:right="19"/>
              <w:spacing w:after="0" w:line="144" w:lineRule="exact"/>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2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4"/>
                <w:szCs w:val="24"/>
                <w:color w:val="0000FF"/>
                <w:vertAlign w:val="subscript"/>
              </w:rPr>
              <w:t>A</w:t>
            </w:r>
            <w:r>
              <w:rPr>
                <w:rFonts w:ascii="Times New Roman" w:cs="Times New Roman" w:eastAsia="Times New Roman" w:hAnsi="Times New Roman"/>
                <w:sz w:val="10"/>
                <w:szCs w:val="10"/>
                <w:color w:val="008000"/>
              </w:rPr>
              <w:t>(2)</w:t>
            </w: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200" w:type="dxa"/>
            <w:vAlign w:val="bottom"/>
          </w:tcPr>
          <w:p>
            <w:pPr>
              <w:spacing w:after="0"/>
              <w:rPr>
                <w:sz w:val="5"/>
                <w:szCs w:val="5"/>
                <w:color w:val="auto"/>
              </w:rPr>
            </w:pP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restart"/>
          </w:tcPr>
          <w:p>
            <w:pPr>
              <w:jc w:val="center"/>
              <w:ind w:right="19"/>
              <w:spacing w:after="0" w:line="144" w:lineRule="exact"/>
              <w:rPr>
                <w:sz w:val="20"/>
                <w:szCs w:val="20"/>
                <w:color w:val="auto"/>
              </w:rPr>
            </w:pPr>
            <w:r>
              <w:rPr>
                <w:rFonts w:ascii="Times New Roman" w:cs="Times New Roman" w:eastAsia="Times New Roman" w:hAnsi="Times New Roman"/>
                <w:sz w:val="13"/>
                <w:szCs w:val="13"/>
                <w:color w:val="0000FF"/>
                <w:w w:val="92"/>
              </w:rPr>
              <w:t>Par</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906</w:t>
            </w: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6"/>
                <w:szCs w:val="6"/>
                <w:color w:val="auto"/>
              </w:rPr>
            </w:pPr>
          </w:p>
        </w:tc>
        <w:tc>
          <w:tcPr>
            <w:tcW w:w="1100" w:type="dxa"/>
            <w:vAlign w:val="bottom"/>
            <w:vMerge w:val="restart"/>
          </w:tcPr>
          <w:p>
            <w:pPr>
              <w:ind w:left="260"/>
              <w:spacing w:after="0" w:line="144" w:lineRule="exact"/>
              <w:rPr>
                <w:sz w:val="20"/>
                <w:szCs w:val="20"/>
                <w:color w:val="auto"/>
              </w:rPr>
            </w:pPr>
            <w:r>
              <w:rPr>
                <w:rFonts w:ascii="Times New Roman" w:cs="Times New Roman" w:eastAsia="Times New Roman" w:hAnsi="Times New Roman"/>
                <w:sz w:val="13"/>
                <w:szCs w:val="13"/>
                <w:color w:val="0000FF"/>
              </w:rPr>
              <w:t>05/08/2026</w:t>
            </w:r>
          </w:p>
        </w:tc>
        <w:tc>
          <w:tcPr>
            <w:tcW w:w="1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vMerge w:val="restart"/>
          </w:tcPr>
          <w:p>
            <w:pPr>
              <w:ind w:left="100"/>
              <w:spacing w:after="0" w:line="144" w:lineRule="exact"/>
              <w:rPr>
                <w:sz w:val="20"/>
                <w:szCs w:val="20"/>
                <w:color w:val="auto"/>
              </w:rPr>
            </w:pPr>
            <w:r>
              <w:rPr>
                <w:rFonts w:ascii="Times New Roman" w:cs="Times New Roman" w:eastAsia="Times New Roman" w:hAnsi="Times New Roman"/>
                <w:sz w:val="13"/>
                <w:szCs w:val="13"/>
                <w:color w:val="0000FF"/>
              </w:rPr>
              <w:t>906</w:t>
            </w:r>
          </w:p>
        </w:tc>
        <w:tc>
          <w:tcPr>
            <w:tcW w:w="76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restart"/>
          </w:tcPr>
          <w:p>
            <w:pPr>
              <w:ind w:left="240"/>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vMerge w:val="restart"/>
          </w:tcPr>
          <w:p>
            <w:pPr>
              <w:ind w:left="240"/>
              <w:spacing w:after="0" w:line="144" w:lineRule="exact"/>
              <w:rPr>
                <w:sz w:val="20"/>
                <w:szCs w:val="20"/>
                <w:color w:val="auto"/>
              </w:rPr>
            </w:pPr>
            <w:r>
              <w:rPr>
                <w:rFonts w:ascii="Times New Roman" w:cs="Times New Roman" w:eastAsia="Times New Roman" w:hAnsi="Times New Roman"/>
                <w:sz w:val="13"/>
                <w:szCs w:val="13"/>
                <w:color w:val="0000FF"/>
                <w:w w:val="94"/>
              </w:rPr>
              <w:t>16,821</w:t>
            </w:r>
          </w:p>
        </w:tc>
        <w:tc>
          <w:tcPr>
            <w:tcW w:w="280" w:type="dxa"/>
            <w:vAlign w:val="bottom"/>
          </w:tcPr>
          <w:p>
            <w:pPr>
              <w:spacing w:after="0"/>
              <w:rPr>
                <w:sz w:val="6"/>
                <w:szCs w:val="6"/>
                <w:color w:val="auto"/>
              </w:rPr>
            </w:pPr>
          </w:p>
        </w:tc>
        <w:tc>
          <w:tcPr>
            <w:tcW w:w="68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80" w:type="dxa"/>
            <w:vAlign w:val="bottom"/>
            <w:vMerge w:val="restart"/>
          </w:tcPr>
          <w:p>
            <w:pPr>
              <w:jc w:val="center"/>
              <w:ind w:right="19"/>
              <w:spacing w:after="0" w:line="144" w:lineRule="exact"/>
              <w:rPr>
                <w:sz w:val="20"/>
                <w:szCs w:val="20"/>
                <w:color w:val="auto"/>
              </w:rPr>
            </w:pPr>
            <w:r>
              <w:rPr>
                <w:rFonts w:ascii="Times New Roman" w:cs="Times New Roman" w:eastAsia="Times New Roman" w:hAnsi="Times New Roman"/>
                <w:sz w:val="13"/>
                <w:szCs w:val="13"/>
                <w:color w:val="0000FF"/>
                <w:w w:val="90"/>
              </w:rPr>
              <w:t>Value</w:t>
            </w: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$0.01 per</w:t>
            </w: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6900"/>
        <w:spacing w:after="0"/>
        <w:rPr>
          <w:sz w:val="20"/>
          <w:szCs w:val="20"/>
          <w:color w:val="auto"/>
        </w:rPr>
      </w:pPr>
      <w:r>
        <w:rPr>
          <w:rFonts w:ascii="Times New Roman" w:cs="Times New Roman" w:eastAsia="Times New Roman" w:hAnsi="Times New Roman"/>
          <w:sz w:val="13"/>
          <w:szCs w:val="13"/>
          <w:color w:val="0000FF"/>
        </w:rPr>
        <w:t>share</w:t>
      </w:r>
    </w:p>
    <w:p>
      <w:pPr>
        <w:spacing w:after="0" w:line="9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convert into common stock on a one-for-one basis.</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Award of restricted stock units pursuant to Popular, Inc.'s 2020 Omnibus Incentive Plan. The award vests on May 8, 2027.</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are converted into an equivalent number of shares of common stock and issued to the reporting person on the 15th of August following the date of termination of service as a director.</w:t>
      </w:r>
    </w:p>
    <w:p>
      <w:pPr>
        <w:spacing w:after="0" w:line="5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Marie Reyes-Rodriguez,</w:t>
            </w:r>
          </w:p>
        </w:tc>
        <w:tc>
          <w:tcPr>
            <w:tcW w:w="9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w w:val="95"/>
              </w:rPr>
              <w:t>05/11/2026</w:t>
            </w:r>
          </w:p>
        </w:tc>
        <w:tc>
          <w:tcPr>
            <w:tcW w:w="0" w:type="dxa"/>
            <w:vAlign w:val="bottom"/>
          </w:tcPr>
          <w:p>
            <w:pPr>
              <w:spacing w:after="0"/>
              <w:rPr>
                <w:sz w:val="1"/>
                <w:szCs w:val="1"/>
                <w:color w:val="auto"/>
              </w:rPr>
            </w:pPr>
          </w:p>
        </w:tc>
      </w:tr>
      <w:tr>
        <w:trPr>
          <w:trHeight w:val="84"/>
        </w:trPr>
        <w:tc>
          <w:tcPr>
            <w:tcW w:w="1660" w:type="dxa"/>
            <w:vAlign w:val="bottom"/>
            <w:tcBorders>
              <w:top w:val="single" w:sz="8" w:color="auto"/>
            </w:tcBorders>
            <w:gridSpan w:val="2"/>
            <w:vMerge w:val="restart"/>
          </w:tcPr>
          <w:p>
            <w:pPr>
              <w:spacing w:after="0" w:line="189" w:lineRule="exact"/>
              <w:rPr>
                <w:sz w:val="20"/>
                <w:szCs w:val="20"/>
                <w:color w:val="auto"/>
              </w:rPr>
            </w:pPr>
            <w:r>
              <w:rPr>
                <w:rFonts w:ascii="Times New Roman" w:cs="Times New Roman" w:eastAsia="Times New Roman" w:hAnsi="Times New Roman"/>
                <w:sz w:val="17"/>
                <w:szCs w:val="17"/>
                <w:color w:val="0000FF"/>
              </w:rPr>
              <w:t>Attorney-in-act</w:t>
            </w:r>
          </w:p>
        </w:tc>
        <w:tc>
          <w:tcPr>
            <w:tcW w:w="38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1660" w:type="dxa"/>
            <w:vAlign w:val="bottom"/>
            <w:tcBorders>
              <w:top w:val="single" w:sz="8" w:color="auto"/>
            </w:tcBorders>
            <w:gridSpan w:val="2"/>
            <w:vMerge w:val="continue"/>
          </w:tcPr>
          <w:p>
            <w:pPr>
              <w:spacing w:after="0"/>
              <w:rPr>
                <w:sz w:val="7"/>
                <w:szCs w:val="7"/>
                <w:color w:val="auto"/>
              </w:rPr>
            </w:pPr>
          </w:p>
        </w:tc>
        <w:tc>
          <w:tcPr>
            <w:tcW w:w="38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4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278731" TargetMode="External"/><Relationship Id="rId14" Type="http://schemas.openxmlformats.org/officeDocument/2006/relationships/hyperlink" Target="http://www.sec.gov/cgi-bin/browse-edgar?action=getcompany&amp;CIK=00007639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2026-05-11T16:32:56Z</dcterms:created>
  <dcterms:modified xsi:type="dcterms:W3CDTF">2026-05-11T16:32:56Z</dcterms:modified>
</cp:coreProperties>
</file>